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D024" w14:textId="77777777" w:rsidR="00FB1B76" w:rsidRDefault="00FB1B76" w:rsidP="002333D3">
      <w:pPr>
        <w:spacing w:after="0"/>
        <w:jc w:val="both"/>
        <w:rPr>
          <w:rFonts w:cs="Arial"/>
          <w:b/>
          <w:color w:val="000000"/>
          <w:lang w:val="en-US"/>
        </w:rPr>
      </w:pPr>
    </w:p>
    <w:p w14:paraId="5902F795" w14:textId="096B585E" w:rsidR="00FB1B76" w:rsidRDefault="00FB1B76" w:rsidP="00FB1B76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Global Fund Country Team Pre-assessment KAZ-809-G04-T</w:t>
      </w:r>
    </w:p>
    <w:p w14:paraId="24FDDF83" w14:textId="7629C811" w:rsidR="00FB1B76" w:rsidRDefault="00FB1B76" w:rsidP="00FB1B76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New Funding Model Grant – May 2013</w:t>
      </w:r>
    </w:p>
    <w:p w14:paraId="1F2336E6" w14:textId="77777777" w:rsidR="00FB1B76" w:rsidRDefault="00FB1B76" w:rsidP="00FB1B76">
      <w:pPr>
        <w:rPr>
          <w:rFonts w:cs="Arial"/>
          <w:b/>
          <w:sz w:val="20"/>
        </w:rPr>
      </w:pPr>
    </w:p>
    <w:p w14:paraId="12984619" w14:textId="696E59DD" w:rsidR="00FB1B76" w:rsidRDefault="00FB1B76" w:rsidP="00FB1B76">
      <w:pPr>
        <w:rPr>
          <w:rFonts w:cs="Arial"/>
          <w:b/>
          <w:sz w:val="20"/>
        </w:rPr>
      </w:pPr>
    </w:p>
    <w:p w14:paraId="1E0B963B" w14:textId="77777777" w:rsidR="006D0C79" w:rsidRDefault="006D0C79" w:rsidP="006D0C79">
      <w:pPr>
        <w:jc w:val="center"/>
        <w:rPr>
          <w:rFonts w:cs="Arial"/>
          <w:b/>
          <w:sz w:val="20"/>
        </w:rPr>
      </w:pPr>
    </w:p>
    <w:p w14:paraId="3D8F23BC" w14:textId="77777777" w:rsidR="006D0C79" w:rsidRDefault="006D0C79" w:rsidP="006D0C79">
      <w:pPr>
        <w:jc w:val="center"/>
        <w:rPr>
          <w:rFonts w:cs="Arial"/>
          <w:b/>
          <w:sz w:val="20"/>
        </w:rPr>
      </w:pPr>
    </w:p>
    <w:p w14:paraId="375AB605" w14:textId="497A7091" w:rsidR="006D0C79" w:rsidRDefault="006D0C79" w:rsidP="006D0C79">
      <w:pPr>
        <w:jc w:val="center"/>
        <w:rPr>
          <w:rFonts w:cs="Arial"/>
          <w:b/>
          <w:sz w:val="20"/>
        </w:rPr>
      </w:pPr>
      <w:r w:rsidRPr="006D0C79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9E7C8" wp14:editId="7950C675">
                <wp:simplePos x="0" y="0"/>
                <wp:positionH relativeFrom="column">
                  <wp:posOffset>147955</wp:posOffset>
                </wp:positionH>
                <wp:positionV relativeFrom="paragraph">
                  <wp:posOffset>95251</wp:posOffset>
                </wp:positionV>
                <wp:extent cx="5524500" cy="5448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44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AE514" w14:textId="77777777" w:rsidR="00213F29" w:rsidRDefault="00213F29" w:rsidP="006D0C79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4F6F6CF0" w14:textId="2A8E2020" w:rsidR="00213F29" w:rsidRDefault="00213F29" w:rsidP="006D0C7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Summary of the main Country Team recommendations to the CCM when preparing the concept note:</w:t>
                            </w:r>
                          </w:p>
                          <w:p w14:paraId="6F3000E9" w14:textId="77777777" w:rsidR="00213F29" w:rsidRDefault="00213F29" w:rsidP="006D0C79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4F0F438E" w14:textId="77777777" w:rsidR="00213F29" w:rsidRDefault="00213F29" w:rsidP="006D0C79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1F9FEC93" w14:textId="48EE1E84" w:rsidR="00213F29" w:rsidRPr="00AF37E1" w:rsidRDefault="00213F29" w:rsidP="006D0C7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F37E1">
                              <w:rPr>
                                <w:b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Main p</w:t>
                            </w:r>
                            <w:r w:rsidRPr="00AF37E1">
                              <w:rPr>
                                <w:b/>
                                <w:sz w:val="20"/>
                              </w:rPr>
                              <w:t>rogrammatic strategic recommendations:</w:t>
                            </w:r>
                          </w:p>
                          <w:p w14:paraId="556F00E8" w14:textId="77777777" w:rsidR="00213F29" w:rsidRDefault="00213F29" w:rsidP="006D0C79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</w:p>
                          <w:p w14:paraId="55438111" w14:textId="77777777" w:rsidR="00213F29" w:rsidRPr="00AF37E1" w:rsidRDefault="00213F29" w:rsidP="006D0C79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 w:rsidRPr="00AF37E1">
                              <w:rPr>
                                <w:sz w:val="20"/>
                              </w:rPr>
                              <w:t xml:space="preserve">1. The concept note should be based on the recommendations included in the report “Extensive review to tuberculosis prevention, control and care in Kazakhstan” issued by </w:t>
                            </w:r>
                            <w:proofErr w:type="gramStart"/>
                            <w:r w:rsidRPr="00AF37E1">
                              <w:rPr>
                                <w:sz w:val="20"/>
                              </w:rPr>
                              <w:t>WHO</w:t>
                            </w:r>
                            <w:proofErr w:type="gramEnd"/>
                            <w:r w:rsidRPr="00AF37E1">
                              <w:rPr>
                                <w:sz w:val="20"/>
                              </w:rPr>
                              <w:t xml:space="preserve"> in 2012, this include in particular:</w:t>
                            </w:r>
                          </w:p>
                          <w:p w14:paraId="19BB55D3" w14:textId="77777777" w:rsidR="00213F29" w:rsidRPr="00AF37E1" w:rsidRDefault="00213F29" w:rsidP="006D0C79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 w:rsidRPr="00AF37E1">
                              <w:rPr>
                                <w:sz w:val="20"/>
                              </w:rPr>
                              <w:t>a. Expansion of ambulatory treatment of patients, home based care and day care treatment.</w:t>
                            </w:r>
                          </w:p>
                          <w:p w14:paraId="42D841AA" w14:textId="77777777" w:rsidR="00213F29" w:rsidRPr="00AF37E1" w:rsidRDefault="00213F29" w:rsidP="006D0C79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 w:rsidRPr="00AF37E1">
                              <w:rPr>
                                <w:sz w:val="20"/>
                              </w:rPr>
                              <w:t>b. Rationalization of hospitalization practices in order to prevent further spread of drug resistance and to use the available resources from the governmental budget more efficiently.</w:t>
                            </w:r>
                          </w:p>
                          <w:p w14:paraId="7D5BF191" w14:textId="77777777" w:rsidR="00213F29" w:rsidRPr="00AF37E1" w:rsidRDefault="00213F29" w:rsidP="006D0C79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 w:rsidRPr="00AF37E1">
                              <w:rPr>
                                <w:sz w:val="20"/>
                              </w:rPr>
                              <w:t>c. Address the urgent needs of cross border TB control and treatment for migrant populations.</w:t>
                            </w:r>
                          </w:p>
                          <w:p w14:paraId="1D18A497" w14:textId="77777777" w:rsidR="00213F29" w:rsidRDefault="00213F29" w:rsidP="006D0C79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</w:p>
                          <w:p w14:paraId="3C7075EC" w14:textId="56F87D6B" w:rsidR="00213F29" w:rsidRDefault="00213F29" w:rsidP="00D81409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7C61BB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 xml:space="preserve">Additionally, the concept note should address </w:t>
                            </w:r>
                            <w:r w:rsidRPr="007C61BB">
                              <w:rPr>
                                <w:sz w:val="20"/>
                              </w:rPr>
                              <w:t xml:space="preserve">TB and MDR-TB among high </w:t>
                            </w:r>
                            <w:r>
                              <w:rPr>
                                <w:sz w:val="20"/>
                              </w:rPr>
                              <w:t>risk groups including prisoners an</w:t>
                            </w:r>
                            <w:r w:rsidRPr="007C61BB">
                              <w:rPr>
                                <w:sz w:val="20"/>
                              </w:rPr>
                              <w:t xml:space="preserve"> outline clear strategies and actions to improve co</w:t>
                            </w:r>
                            <w:r>
                              <w:rPr>
                                <w:sz w:val="20"/>
                              </w:rPr>
                              <w:t>verage at national level including</w:t>
                            </w:r>
                            <w:r w:rsidRPr="007C61BB">
                              <w:rPr>
                                <w:sz w:val="20"/>
                              </w:rPr>
                              <w:t>: improving treatment success rate (currently at 61%), enrolling TB/HIV co-infected patients on ART (currently only at 9%), and enrolling MDR-TB diagnosed patients on treatment (currently at 63%).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CA2CBC7" w14:textId="77777777" w:rsidR="00213F29" w:rsidRDefault="00213F29" w:rsidP="006D0C79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</w:p>
                          <w:p w14:paraId="4B4F4D93" w14:textId="6A82E041" w:rsidR="00213F29" w:rsidRDefault="00213F29" w:rsidP="006D0C79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AF37E1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Finally, t</w:t>
                            </w:r>
                            <w:r w:rsidRPr="00AF37E1">
                              <w:rPr>
                                <w:sz w:val="20"/>
                              </w:rPr>
                              <w:t>he concept note should be based on a robust, ambitious and budgeted national strategy, based on above mentioned WHO report to identify the financial gaps and trigger the needed TB health refor</w:t>
                            </w:r>
                            <w:r>
                              <w:rPr>
                                <w:sz w:val="20"/>
                              </w:rPr>
                              <w:t>ms.</w:t>
                            </w:r>
                          </w:p>
                          <w:p w14:paraId="147057CC" w14:textId="77777777" w:rsidR="00213F29" w:rsidRPr="00AF37E1" w:rsidRDefault="00213F29" w:rsidP="006D0C79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</w:p>
                          <w:p w14:paraId="7242A44B" w14:textId="7C74C1C0" w:rsidR="00213F29" w:rsidRPr="00D81409" w:rsidRDefault="00D81409" w:rsidP="006D0C7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 Dual Track financing</w:t>
                            </w:r>
                            <w:r w:rsidR="00213F29">
                              <w:rPr>
                                <w:sz w:val="20"/>
                              </w:rPr>
                              <w:t xml:space="preserve"> is recommended.</w:t>
                            </w:r>
                          </w:p>
                          <w:p w14:paraId="34E4F81D" w14:textId="77777777" w:rsidR="00213F29" w:rsidRPr="00AF37E1" w:rsidRDefault="00213F29" w:rsidP="006D0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4F757090" w14:textId="77777777" w:rsidR="00213F29" w:rsidRPr="00AF37E1" w:rsidRDefault="00213F29" w:rsidP="006D0C7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F37E1">
                              <w:rPr>
                                <w:b/>
                                <w:sz w:val="20"/>
                              </w:rPr>
                              <w:t>3. Risks and shortcoming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in financial and pharmaceutical and health product management.</w:t>
                            </w:r>
                          </w:p>
                          <w:p w14:paraId="20BB2972" w14:textId="47E91C7F" w:rsidR="00213F29" w:rsidRPr="003E5FEF" w:rsidRDefault="00213F29" w:rsidP="003E5FEF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6D0C79">
                              <w:rPr>
                                <w:noProof/>
                                <w:sz w:val="20"/>
                                <w:lang w:eastAsia="en-GB"/>
                              </w:rPr>
                              <w:t>Following OIG Audit report</w:t>
                            </w:r>
                            <w:r w:rsidR="003E5FEF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6D0C79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and last management letter 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recommendations respectively </w:t>
                            </w:r>
                            <w:r w:rsidRPr="006D0C79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issued on 21.12.2012 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and 29</w:t>
                            </w:r>
                            <w:r w:rsidR="003E5FEF">
                              <w:rPr>
                                <w:noProof/>
                                <w:sz w:val="20"/>
                                <w:lang w:eastAsia="en-GB"/>
                              </w:rPr>
                              <w:t>.04.2013 and FPM’s visit in February/March 2013</w:t>
                            </w:r>
                            <w:r w:rsidR="003E5FEF" w:rsidRPr="006D0C79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6D0C79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6D0C79">
                              <w:rPr>
                                <w:rFonts w:cs="Arial"/>
                                <w:sz w:val="20"/>
                              </w:rPr>
                              <w:t>Financial and Pharmaceutical and Health Product Management, especial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ly in the field of procurement, are</w:t>
                            </w:r>
                            <w:r w:rsidRPr="006D0C79">
                              <w:rPr>
                                <w:rFonts w:cs="Arial"/>
                                <w:sz w:val="20"/>
                              </w:rPr>
                              <w:t xml:space="preserve"> considered as high risk areas and, as such, shou</w:t>
                            </w:r>
                            <w:r w:rsidR="00350376">
                              <w:rPr>
                                <w:rFonts w:cs="Arial"/>
                                <w:sz w:val="20"/>
                              </w:rPr>
                              <w:t>ld be urgently addressed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14:paraId="4A5B7BC2" w14:textId="77777777" w:rsidR="00213F29" w:rsidRDefault="00213F29" w:rsidP="006D0C79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F601E1B" w14:textId="77777777" w:rsidR="00213F29" w:rsidRPr="006D0C79" w:rsidRDefault="00213F29" w:rsidP="006D0C79">
                            <w:pPr>
                              <w:spacing w:after="0"/>
                              <w:rPr>
                                <w:noProof/>
                                <w:sz w:val="20"/>
                                <w:lang w:eastAsia="en-GB"/>
                              </w:rPr>
                            </w:pPr>
                          </w:p>
                          <w:p w14:paraId="217F19A2" w14:textId="449FE8BD" w:rsidR="00213F29" w:rsidRDefault="00213F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7.5pt;width:435pt;height:4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" fillcolor="#f2f2f2 [3052]">
                <v:textbox>
                  <w:txbxContent>
                    <w:p w14:paraId="710AE514" w14:textId="77777777" w:rsidR="00213F29" w:rsidRDefault="00213F29" w:rsidP="006D0C79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14:paraId="4F6F6CF0" w14:textId="2A8E2020" w:rsidR="00213F29" w:rsidRDefault="00213F29" w:rsidP="006D0C79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Summary of the main Country Team recommendations to the CCM when preparing the concept note:</w:t>
                      </w:r>
                    </w:p>
                    <w:p w14:paraId="6F3000E9" w14:textId="77777777" w:rsidR="00213F29" w:rsidRDefault="00213F29" w:rsidP="006D0C79">
                      <w:pPr>
                        <w:spacing w:after="0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14:paraId="4F0F438E" w14:textId="77777777" w:rsidR="00213F29" w:rsidRDefault="00213F29" w:rsidP="006D0C79">
                      <w:pPr>
                        <w:spacing w:after="0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14:paraId="1F9FEC93" w14:textId="48EE1E84" w:rsidR="00213F29" w:rsidRPr="00AF37E1" w:rsidRDefault="00213F29" w:rsidP="006D0C7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F37E1">
                        <w:rPr>
                          <w:b/>
                          <w:sz w:val="20"/>
                        </w:rPr>
                        <w:t xml:space="preserve">1. </w:t>
                      </w:r>
                      <w:r>
                        <w:rPr>
                          <w:b/>
                          <w:sz w:val="20"/>
                        </w:rPr>
                        <w:t>Main p</w:t>
                      </w:r>
                      <w:r w:rsidRPr="00AF37E1">
                        <w:rPr>
                          <w:b/>
                          <w:sz w:val="20"/>
                        </w:rPr>
                        <w:t>rogrammatic strategic recommendations:</w:t>
                      </w:r>
                    </w:p>
                    <w:p w14:paraId="556F00E8" w14:textId="77777777" w:rsidR="00213F29" w:rsidRDefault="00213F29" w:rsidP="006D0C79">
                      <w:pPr>
                        <w:spacing w:after="0" w:line="276" w:lineRule="auto"/>
                        <w:rPr>
                          <w:sz w:val="20"/>
                        </w:rPr>
                      </w:pPr>
                    </w:p>
                    <w:p w14:paraId="55438111" w14:textId="77777777" w:rsidR="00213F29" w:rsidRPr="00AF37E1" w:rsidRDefault="00213F29" w:rsidP="006D0C79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 w:rsidRPr="00AF37E1">
                        <w:rPr>
                          <w:sz w:val="20"/>
                        </w:rPr>
                        <w:t xml:space="preserve">1. The concept note should be based on the recommendations included in the report “Extensive review to tuberculosis prevention, control and care in Kazakhstan” issued by </w:t>
                      </w:r>
                      <w:proofErr w:type="gramStart"/>
                      <w:r w:rsidRPr="00AF37E1">
                        <w:rPr>
                          <w:sz w:val="20"/>
                        </w:rPr>
                        <w:t>WHO</w:t>
                      </w:r>
                      <w:proofErr w:type="gramEnd"/>
                      <w:r w:rsidRPr="00AF37E1">
                        <w:rPr>
                          <w:sz w:val="20"/>
                        </w:rPr>
                        <w:t xml:space="preserve"> in 2012, this include in particular:</w:t>
                      </w:r>
                    </w:p>
                    <w:p w14:paraId="19BB55D3" w14:textId="77777777" w:rsidR="00213F29" w:rsidRPr="00AF37E1" w:rsidRDefault="00213F29" w:rsidP="006D0C79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 w:rsidRPr="00AF37E1">
                        <w:rPr>
                          <w:sz w:val="20"/>
                        </w:rPr>
                        <w:t>a. Expansion of ambulatory treatment of patients, home based care and day care treatment.</w:t>
                      </w:r>
                    </w:p>
                    <w:p w14:paraId="42D841AA" w14:textId="77777777" w:rsidR="00213F29" w:rsidRPr="00AF37E1" w:rsidRDefault="00213F29" w:rsidP="006D0C79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 w:rsidRPr="00AF37E1">
                        <w:rPr>
                          <w:sz w:val="20"/>
                        </w:rPr>
                        <w:t>b. Rationalization of hospitalization practices in order to prevent further spread of drug resistance and to use the available resources from the governmental budget more efficiently.</w:t>
                      </w:r>
                    </w:p>
                    <w:p w14:paraId="7D5BF191" w14:textId="77777777" w:rsidR="00213F29" w:rsidRPr="00AF37E1" w:rsidRDefault="00213F29" w:rsidP="006D0C79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 w:rsidRPr="00AF37E1">
                        <w:rPr>
                          <w:sz w:val="20"/>
                        </w:rPr>
                        <w:t>c. Address the urgent needs of cross border TB control and treatment for migrant populations.</w:t>
                      </w:r>
                    </w:p>
                    <w:p w14:paraId="1D18A497" w14:textId="77777777" w:rsidR="00213F29" w:rsidRDefault="00213F29" w:rsidP="006D0C79">
                      <w:pPr>
                        <w:spacing w:after="0" w:line="276" w:lineRule="auto"/>
                        <w:rPr>
                          <w:sz w:val="20"/>
                        </w:rPr>
                      </w:pPr>
                    </w:p>
                    <w:p w14:paraId="3C7075EC" w14:textId="56F87D6B" w:rsidR="00213F29" w:rsidRDefault="00213F29" w:rsidP="00D81409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7C61BB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 xml:space="preserve">Additionally, the concept note should address </w:t>
                      </w:r>
                      <w:r w:rsidRPr="007C61BB">
                        <w:rPr>
                          <w:sz w:val="20"/>
                        </w:rPr>
                        <w:t xml:space="preserve">TB and MDR-TB among high </w:t>
                      </w:r>
                      <w:r>
                        <w:rPr>
                          <w:sz w:val="20"/>
                        </w:rPr>
                        <w:t>risk groups including prisoners an</w:t>
                      </w:r>
                      <w:r w:rsidRPr="007C61BB">
                        <w:rPr>
                          <w:sz w:val="20"/>
                        </w:rPr>
                        <w:t xml:space="preserve"> outline clear strategies and actions to improve co</w:t>
                      </w:r>
                      <w:r>
                        <w:rPr>
                          <w:sz w:val="20"/>
                        </w:rPr>
                        <w:t>verage at national level including</w:t>
                      </w:r>
                      <w:r w:rsidRPr="007C61BB">
                        <w:rPr>
                          <w:sz w:val="20"/>
                        </w:rPr>
                        <w:t>: improving treatment success rate (currently at 61%), enrolling TB/HIV co-infected patients on ART (currently only at 9%), and enrolling MDR-TB diagnosed patients on treatment (currently at 63%).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6CA2CBC7" w14:textId="77777777" w:rsidR="00213F29" w:rsidRDefault="00213F29" w:rsidP="006D0C79">
                      <w:pPr>
                        <w:spacing w:after="0" w:line="276" w:lineRule="auto"/>
                        <w:rPr>
                          <w:sz w:val="20"/>
                        </w:rPr>
                      </w:pPr>
                    </w:p>
                    <w:p w14:paraId="4B4F4D93" w14:textId="6A82E041" w:rsidR="00213F29" w:rsidRDefault="00213F29" w:rsidP="006D0C79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 w:rsidRPr="00AF37E1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Finally, t</w:t>
                      </w:r>
                      <w:r w:rsidRPr="00AF37E1">
                        <w:rPr>
                          <w:sz w:val="20"/>
                        </w:rPr>
                        <w:t>he concept note should be based on a robust, ambitious and budgeted national strategy, based on above mentioned WHO report to identify the financial gaps and trigger the needed TB health refor</w:t>
                      </w:r>
                      <w:r>
                        <w:rPr>
                          <w:sz w:val="20"/>
                        </w:rPr>
                        <w:t>ms.</w:t>
                      </w:r>
                    </w:p>
                    <w:p w14:paraId="147057CC" w14:textId="77777777" w:rsidR="00213F29" w:rsidRPr="00AF37E1" w:rsidRDefault="00213F29" w:rsidP="006D0C79">
                      <w:pPr>
                        <w:spacing w:after="0" w:line="276" w:lineRule="auto"/>
                        <w:rPr>
                          <w:sz w:val="20"/>
                        </w:rPr>
                      </w:pPr>
                    </w:p>
                    <w:p w14:paraId="7242A44B" w14:textId="7C74C1C0" w:rsidR="00213F29" w:rsidRPr="00D81409" w:rsidRDefault="00D81409" w:rsidP="006D0C7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 Dual Track financing</w:t>
                      </w:r>
                      <w:r w:rsidR="00213F29">
                        <w:rPr>
                          <w:sz w:val="20"/>
                        </w:rPr>
                        <w:t xml:space="preserve"> is recommended.</w:t>
                      </w:r>
                    </w:p>
                    <w:p w14:paraId="34E4F81D" w14:textId="77777777" w:rsidR="00213F29" w:rsidRPr="00AF37E1" w:rsidRDefault="00213F29" w:rsidP="006D0C79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4F757090" w14:textId="77777777" w:rsidR="00213F29" w:rsidRPr="00AF37E1" w:rsidRDefault="00213F29" w:rsidP="006D0C7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F37E1">
                        <w:rPr>
                          <w:b/>
                          <w:sz w:val="20"/>
                        </w:rPr>
                        <w:t>3. Risks and shortcoming</w:t>
                      </w:r>
                      <w:r>
                        <w:rPr>
                          <w:b/>
                          <w:sz w:val="20"/>
                        </w:rPr>
                        <w:t xml:space="preserve"> in financial and pharmaceutical and health product management.</w:t>
                      </w:r>
                    </w:p>
                    <w:p w14:paraId="20BB2972" w14:textId="47E91C7F" w:rsidR="00213F29" w:rsidRPr="003E5FEF" w:rsidRDefault="00213F29" w:rsidP="003E5FEF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  <w:r w:rsidRPr="006D0C79">
                        <w:rPr>
                          <w:noProof/>
                          <w:sz w:val="20"/>
                          <w:lang w:eastAsia="en-GB"/>
                        </w:rPr>
                        <w:t>Following OIG Audit report</w:t>
                      </w:r>
                      <w:r w:rsidR="003E5FEF">
                        <w:rPr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Pr="006D0C79">
                        <w:rPr>
                          <w:noProof/>
                          <w:sz w:val="20"/>
                          <w:lang w:eastAsia="en-GB"/>
                        </w:rPr>
                        <w:t xml:space="preserve">and last management letter 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 xml:space="preserve"> recommendations respectively </w:t>
                      </w:r>
                      <w:r w:rsidRPr="006D0C79">
                        <w:rPr>
                          <w:noProof/>
                          <w:sz w:val="20"/>
                          <w:lang w:eastAsia="en-GB"/>
                        </w:rPr>
                        <w:t xml:space="preserve">issued on 21.12.2012 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t xml:space="preserve"> and 29</w:t>
                      </w:r>
                      <w:r w:rsidR="003E5FEF">
                        <w:rPr>
                          <w:noProof/>
                          <w:sz w:val="20"/>
                          <w:lang w:eastAsia="en-GB"/>
                        </w:rPr>
                        <w:t>.04.2013 and FPM’s visit in February/March 2013</w:t>
                      </w:r>
                      <w:r w:rsidR="003E5FEF" w:rsidRPr="006D0C79">
                        <w:rPr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Pr="006D0C79">
                        <w:rPr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Pr="006D0C79">
                        <w:rPr>
                          <w:rFonts w:cs="Arial"/>
                          <w:sz w:val="20"/>
                        </w:rPr>
                        <w:t>Financial and Pharmaceutical and Health Product Management, especial</w:t>
                      </w:r>
                      <w:r>
                        <w:rPr>
                          <w:rFonts w:cs="Arial"/>
                          <w:sz w:val="20"/>
                        </w:rPr>
                        <w:t>ly in the field of procurement, are</w:t>
                      </w:r>
                      <w:r w:rsidRPr="006D0C79">
                        <w:rPr>
                          <w:rFonts w:cs="Arial"/>
                          <w:sz w:val="20"/>
                        </w:rPr>
                        <w:t xml:space="preserve"> considered as high risk areas and, as such, shou</w:t>
                      </w:r>
                      <w:r w:rsidR="00350376">
                        <w:rPr>
                          <w:rFonts w:cs="Arial"/>
                          <w:sz w:val="20"/>
                        </w:rPr>
                        <w:t>ld be urgently addressed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14:paraId="4A5B7BC2" w14:textId="77777777" w:rsidR="00213F29" w:rsidRDefault="00213F29" w:rsidP="006D0C79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</w:p>
                    <w:p w14:paraId="7F601E1B" w14:textId="77777777" w:rsidR="00213F29" w:rsidRPr="006D0C79" w:rsidRDefault="00213F29" w:rsidP="006D0C79">
                      <w:pPr>
                        <w:spacing w:after="0"/>
                        <w:rPr>
                          <w:noProof/>
                          <w:sz w:val="20"/>
                          <w:lang w:eastAsia="en-GB"/>
                        </w:rPr>
                      </w:pPr>
                    </w:p>
                    <w:p w14:paraId="217F19A2" w14:textId="449FE8BD" w:rsidR="00213F29" w:rsidRDefault="00213F29"/>
                  </w:txbxContent>
                </v:textbox>
              </v:shape>
            </w:pict>
          </mc:Fallback>
        </mc:AlternateContent>
      </w:r>
    </w:p>
    <w:p w14:paraId="2E05A5AD" w14:textId="77777777" w:rsidR="006D0C79" w:rsidRDefault="006D0C79" w:rsidP="006D0C79">
      <w:pPr>
        <w:jc w:val="center"/>
        <w:rPr>
          <w:rFonts w:cs="Arial"/>
          <w:b/>
          <w:sz w:val="20"/>
        </w:rPr>
      </w:pPr>
    </w:p>
    <w:p w14:paraId="29B198BE" w14:textId="77777777" w:rsidR="006D0C79" w:rsidRDefault="006D0C79" w:rsidP="006D0C79">
      <w:pPr>
        <w:jc w:val="center"/>
        <w:rPr>
          <w:rFonts w:cs="Arial"/>
          <w:b/>
          <w:sz w:val="20"/>
        </w:rPr>
      </w:pPr>
    </w:p>
    <w:p w14:paraId="1D3D8206" w14:textId="77777777" w:rsidR="006D0C79" w:rsidRDefault="006D0C79" w:rsidP="006D0C79">
      <w:pPr>
        <w:jc w:val="center"/>
        <w:rPr>
          <w:rFonts w:cs="Arial"/>
          <w:b/>
          <w:sz w:val="20"/>
        </w:rPr>
      </w:pPr>
    </w:p>
    <w:p w14:paraId="235B1C0F" w14:textId="77777777" w:rsidR="00FB1B76" w:rsidRDefault="00FB1B76" w:rsidP="00FB1B76">
      <w:pPr>
        <w:rPr>
          <w:rFonts w:cs="Arial"/>
          <w:b/>
          <w:sz w:val="20"/>
        </w:rPr>
      </w:pPr>
    </w:p>
    <w:p w14:paraId="4B660BAE" w14:textId="77777777" w:rsidR="009634AF" w:rsidRDefault="009634AF" w:rsidP="00FB1B76">
      <w:pPr>
        <w:rPr>
          <w:rFonts w:cs="Arial"/>
          <w:b/>
          <w:sz w:val="20"/>
        </w:rPr>
      </w:pPr>
    </w:p>
    <w:p w14:paraId="24DAFBDD" w14:textId="77777777" w:rsidR="009634AF" w:rsidRDefault="009634AF" w:rsidP="00FB1B76">
      <w:pPr>
        <w:rPr>
          <w:rFonts w:cs="Arial"/>
          <w:b/>
          <w:sz w:val="20"/>
        </w:rPr>
      </w:pPr>
    </w:p>
    <w:p w14:paraId="7FFD051A" w14:textId="77777777" w:rsidR="009634AF" w:rsidRDefault="009634AF" w:rsidP="00FB1B76">
      <w:pPr>
        <w:rPr>
          <w:rFonts w:cs="Arial"/>
          <w:b/>
          <w:sz w:val="20"/>
        </w:rPr>
      </w:pPr>
    </w:p>
    <w:p w14:paraId="79503028" w14:textId="77777777" w:rsidR="00FB1B76" w:rsidRDefault="00FB1B76" w:rsidP="00FB1B76">
      <w:pPr>
        <w:rPr>
          <w:rFonts w:cs="Arial"/>
          <w:b/>
          <w:sz w:val="20"/>
        </w:rPr>
      </w:pPr>
    </w:p>
    <w:p w14:paraId="4E5A5BBB" w14:textId="77777777" w:rsidR="006D0C79" w:rsidRDefault="006D0C79" w:rsidP="00FB1B76">
      <w:pPr>
        <w:rPr>
          <w:rFonts w:cs="Arial"/>
          <w:b/>
          <w:sz w:val="20"/>
        </w:rPr>
      </w:pPr>
    </w:p>
    <w:p w14:paraId="7B7DE135" w14:textId="77777777" w:rsidR="006D0C79" w:rsidRDefault="006D0C79" w:rsidP="00FB1B76">
      <w:pPr>
        <w:rPr>
          <w:rFonts w:cs="Arial"/>
          <w:b/>
          <w:sz w:val="20"/>
        </w:rPr>
      </w:pPr>
    </w:p>
    <w:p w14:paraId="2735AB03" w14:textId="77777777" w:rsidR="006D0C79" w:rsidRDefault="006D0C79" w:rsidP="00FB1B76">
      <w:pPr>
        <w:rPr>
          <w:rFonts w:cs="Arial"/>
          <w:b/>
          <w:sz w:val="20"/>
        </w:rPr>
      </w:pPr>
    </w:p>
    <w:p w14:paraId="50EE5633" w14:textId="77777777" w:rsidR="006D0C79" w:rsidRDefault="006D0C79" w:rsidP="00FB1B76">
      <w:pPr>
        <w:rPr>
          <w:rFonts w:cs="Arial"/>
          <w:b/>
          <w:sz w:val="20"/>
        </w:rPr>
      </w:pPr>
    </w:p>
    <w:p w14:paraId="24D482B2" w14:textId="77777777" w:rsidR="006D0C79" w:rsidRDefault="006D0C79" w:rsidP="00FB1B76">
      <w:pPr>
        <w:rPr>
          <w:rFonts w:cs="Arial"/>
          <w:b/>
          <w:sz w:val="20"/>
        </w:rPr>
      </w:pPr>
    </w:p>
    <w:p w14:paraId="07A6B6FE" w14:textId="77777777" w:rsidR="006D0C79" w:rsidRDefault="006D0C79" w:rsidP="00FB1B76">
      <w:pPr>
        <w:rPr>
          <w:rFonts w:cs="Arial"/>
          <w:b/>
          <w:sz w:val="20"/>
        </w:rPr>
      </w:pPr>
    </w:p>
    <w:p w14:paraId="21C6D6F6" w14:textId="77777777" w:rsidR="006D0C79" w:rsidRDefault="006D0C79" w:rsidP="00FB1B76">
      <w:pPr>
        <w:rPr>
          <w:rFonts w:cs="Arial"/>
          <w:b/>
          <w:sz w:val="20"/>
        </w:rPr>
      </w:pPr>
    </w:p>
    <w:p w14:paraId="6431670B" w14:textId="77777777" w:rsidR="006D0C79" w:rsidRDefault="006D0C79" w:rsidP="00FB1B76">
      <w:pPr>
        <w:rPr>
          <w:rFonts w:cs="Arial"/>
          <w:b/>
          <w:sz w:val="20"/>
        </w:rPr>
      </w:pPr>
    </w:p>
    <w:p w14:paraId="564AFC5E" w14:textId="77777777" w:rsidR="006D0C79" w:rsidRDefault="006D0C79" w:rsidP="00FB1B76">
      <w:pPr>
        <w:rPr>
          <w:rFonts w:cs="Arial"/>
          <w:b/>
          <w:sz w:val="20"/>
        </w:rPr>
      </w:pPr>
    </w:p>
    <w:p w14:paraId="15C08728" w14:textId="77777777" w:rsidR="006D0C79" w:rsidRDefault="006D0C79" w:rsidP="00FB1B76">
      <w:pPr>
        <w:rPr>
          <w:rFonts w:cs="Arial"/>
          <w:b/>
          <w:sz w:val="20"/>
        </w:rPr>
      </w:pPr>
    </w:p>
    <w:p w14:paraId="160DB751" w14:textId="77777777" w:rsidR="006D0C79" w:rsidRDefault="006D0C79" w:rsidP="00FB1B76">
      <w:pPr>
        <w:rPr>
          <w:rFonts w:cs="Arial"/>
          <w:b/>
          <w:sz w:val="20"/>
        </w:rPr>
      </w:pPr>
    </w:p>
    <w:p w14:paraId="273E513B" w14:textId="77777777" w:rsidR="006D0C79" w:rsidRDefault="006D0C79" w:rsidP="00FB1B76">
      <w:pPr>
        <w:rPr>
          <w:rFonts w:cs="Arial"/>
          <w:b/>
          <w:sz w:val="20"/>
        </w:rPr>
      </w:pPr>
    </w:p>
    <w:p w14:paraId="1CBEFDC2" w14:textId="77777777" w:rsidR="006D0C79" w:rsidRDefault="006D0C79" w:rsidP="00FB1B76">
      <w:pPr>
        <w:rPr>
          <w:rFonts w:cs="Arial"/>
          <w:b/>
          <w:sz w:val="20"/>
        </w:rPr>
      </w:pPr>
    </w:p>
    <w:p w14:paraId="6619AD3A" w14:textId="77777777" w:rsidR="006D0C79" w:rsidRDefault="006D0C79" w:rsidP="00FB1B76">
      <w:pPr>
        <w:rPr>
          <w:rFonts w:cs="Arial"/>
          <w:b/>
          <w:sz w:val="20"/>
        </w:rPr>
      </w:pPr>
    </w:p>
    <w:p w14:paraId="02177B4B" w14:textId="77777777" w:rsidR="006D0C79" w:rsidRDefault="006D0C79" w:rsidP="00FB1B76">
      <w:pPr>
        <w:rPr>
          <w:rFonts w:cs="Arial"/>
          <w:b/>
          <w:sz w:val="20"/>
        </w:rPr>
      </w:pPr>
    </w:p>
    <w:p w14:paraId="59E18AF7" w14:textId="77777777" w:rsidR="006D0C79" w:rsidRDefault="006D0C79" w:rsidP="00FB1B76">
      <w:pPr>
        <w:rPr>
          <w:rFonts w:cs="Arial"/>
          <w:b/>
          <w:sz w:val="20"/>
        </w:rPr>
      </w:pPr>
    </w:p>
    <w:p w14:paraId="3C9D11B4" w14:textId="77777777" w:rsidR="006D0C79" w:rsidRDefault="006D0C79" w:rsidP="00FB1B76">
      <w:pPr>
        <w:rPr>
          <w:rFonts w:cs="Arial"/>
          <w:b/>
          <w:sz w:val="20"/>
        </w:rPr>
      </w:pPr>
    </w:p>
    <w:p w14:paraId="70BD0D6A" w14:textId="77777777" w:rsidR="006D0C79" w:rsidRDefault="006D0C79" w:rsidP="00FB1B76">
      <w:pPr>
        <w:rPr>
          <w:rFonts w:cs="Arial"/>
          <w:b/>
          <w:sz w:val="20"/>
        </w:rPr>
      </w:pPr>
    </w:p>
    <w:p w14:paraId="1FB89259" w14:textId="77777777" w:rsidR="006D0C79" w:rsidRDefault="006D0C79" w:rsidP="00FB1B76">
      <w:pPr>
        <w:rPr>
          <w:rFonts w:cs="Arial"/>
          <w:b/>
          <w:sz w:val="20"/>
        </w:rPr>
      </w:pPr>
    </w:p>
    <w:p w14:paraId="06D316F5" w14:textId="77777777" w:rsidR="006D0C79" w:rsidRDefault="006D0C79" w:rsidP="00FB1B76">
      <w:pPr>
        <w:rPr>
          <w:rFonts w:cs="Arial"/>
          <w:b/>
          <w:sz w:val="20"/>
        </w:rPr>
      </w:pPr>
      <w:bookmarkStart w:id="0" w:name="_GoBack"/>
      <w:bookmarkEnd w:id="0"/>
    </w:p>
    <w:p w14:paraId="6B247870" w14:textId="77777777" w:rsidR="006D0C79" w:rsidRDefault="006D0C79" w:rsidP="00FB1B76">
      <w:pPr>
        <w:rPr>
          <w:rFonts w:cs="Arial"/>
          <w:b/>
          <w:sz w:val="20"/>
        </w:rPr>
      </w:pPr>
    </w:p>
    <w:p w14:paraId="712D4CCE" w14:textId="77777777" w:rsidR="006D0C79" w:rsidRDefault="006D0C79" w:rsidP="00FB1B76">
      <w:pPr>
        <w:rPr>
          <w:rFonts w:cs="Arial"/>
          <w:b/>
          <w:sz w:val="20"/>
        </w:rPr>
      </w:pPr>
    </w:p>
    <w:p w14:paraId="71E87F3B" w14:textId="77777777" w:rsidR="006D0C79" w:rsidRDefault="006D0C79" w:rsidP="00FB1B76">
      <w:pPr>
        <w:rPr>
          <w:rFonts w:cs="Arial"/>
          <w:b/>
          <w:sz w:val="20"/>
        </w:rPr>
      </w:pPr>
    </w:p>
    <w:p w14:paraId="7F65F922" w14:textId="77777777" w:rsidR="006D0C79" w:rsidRDefault="006D0C79" w:rsidP="00FB1B76">
      <w:pPr>
        <w:rPr>
          <w:rFonts w:cs="Arial"/>
          <w:b/>
          <w:sz w:val="20"/>
        </w:rPr>
      </w:pPr>
    </w:p>
    <w:p w14:paraId="61E0F41D" w14:textId="20851F83" w:rsidR="00FB1B76" w:rsidRPr="00AF37E1" w:rsidRDefault="00213F29" w:rsidP="00FB1B7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1. Epidemiological situation: s</w:t>
      </w:r>
      <w:r w:rsidR="00FB1B76" w:rsidRPr="00AF37E1">
        <w:rPr>
          <w:rFonts w:cs="Arial"/>
          <w:b/>
          <w:sz w:val="20"/>
        </w:rPr>
        <w:t>ummary</w:t>
      </w:r>
    </w:p>
    <w:p w14:paraId="0E01D88D" w14:textId="77777777" w:rsidR="00FB1B76" w:rsidRPr="00AF37E1" w:rsidRDefault="00FB1B76" w:rsidP="00FB1B76">
      <w:pPr>
        <w:rPr>
          <w:rFonts w:cs="Arial"/>
          <w:b/>
          <w:sz w:val="20"/>
        </w:rPr>
      </w:pPr>
    </w:p>
    <w:p w14:paraId="7F43061B" w14:textId="77777777" w:rsidR="002A6F93" w:rsidRDefault="002A6F93" w:rsidP="002A6F93">
      <w:pPr>
        <w:rPr>
          <w:rFonts w:cs="Arial"/>
          <w:sz w:val="20"/>
        </w:rPr>
      </w:pPr>
      <w:r>
        <w:rPr>
          <w:rFonts w:cs="Arial"/>
          <w:b/>
          <w:sz w:val="20"/>
        </w:rPr>
        <w:t>Kazakhstan is among 27 high multidrug-resistant (MDR) TB burden countries in the world with an estimated MDR TB prevalence of 30% in new cases and 51% in previously treated cases.</w:t>
      </w:r>
      <w:r>
        <w:rPr>
          <w:rFonts w:cs="Arial"/>
          <w:sz w:val="20"/>
        </w:rPr>
        <w:t xml:space="preserve"> It is also listed among 18 high priority countries for stopping TB in the European region (ranked as 2</w:t>
      </w:r>
      <w:r>
        <w:rPr>
          <w:rFonts w:cs="Arial"/>
          <w:sz w:val="20"/>
          <w:vertAlign w:val="superscript"/>
        </w:rPr>
        <w:t>nd</w:t>
      </w:r>
      <w:r>
        <w:rPr>
          <w:rFonts w:cs="Arial"/>
          <w:sz w:val="20"/>
        </w:rPr>
        <w:t xml:space="preserve"> in the European region in terms of case notification rate). </w:t>
      </w:r>
    </w:p>
    <w:p w14:paraId="494E3810" w14:textId="77777777" w:rsidR="002A6F93" w:rsidRDefault="002A6F93" w:rsidP="002A6F93">
      <w:pPr>
        <w:rPr>
          <w:rFonts w:cs="Arial"/>
          <w:sz w:val="20"/>
        </w:rPr>
      </w:pPr>
      <w:r>
        <w:rPr>
          <w:rFonts w:cs="Arial"/>
          <w:sz w:val="20"/>
        </w:rPr>
        <w:t xml:space="preserve">WHO estimates the incidence, prevalence and mortality rate of TB in 2011 to be 129, 168 and 14 per 100.000 </w:t>
      </w:r>
      <w:proofErr w:type="gramStart"/>
      <w:r>
        <w:rPr>
          <w:rFonts w:cs="Arial"/>
          <w:sz w:val="20"/>
        </w:rPr>
        <w:t>population</w:t>
      </w:r>
      <w:proofErr w:type="gramEnd"/>
      <w:r>
        <w:rPr>
          <w:rFonts w:cs="Arial"/>
          <w:sz w:val="20"/>
        </w:rPr>
        <w:t xml:space="preserve"> respectively. </w:t>
      </w:r>
      <w:r>
        <w:rPr>
          <w:rFonts w:cs="Arial"/>
          <w:b/>
          <w:sz w:val="20"/>
        </w:rPr>
        <w:t>The program achieved 92% case detection rate for all forms of TB; however treatment success rate, especially smear-positive cases (new and retreatment) has been low and declining over recent years, which could be partly attributed to a high rate of MDR TB.</w:t>
      </w:r>
      <w:r>
        <w:rPr>
          <w:rFonts w:cs="Arial"/>
          <w:sz w:val="20"/>
        </w:rPr>
        <w:t xml:space="preserve"> Considering this fact the country started addressing the problem (with the support of the Global Fund) through scaling-up MDR TB response; the results of these interventions were quite successful, resulting 73% of treatment success  for 2009 MDR TB cohort (2851 MDR TB cases out of 3897 were successfully treated). </w:t>
      </w:r>
    </w:p>
    <w:p w14:paraId="58C99A33" w14:textId="77777777" w:rsidR="002A6F93" w:rsidRDefault="002A6F93" w:rsidP="002A6F93">
      <w:pPr>
        <w:rPr>
          <w:rFonts w:cs="Arial"/>
          <w:sz w:val="20"/>
        </w:rPr>
      </w:pPr>
      <w:r>
        <w:rPr>
          <w:rFonts w:cs="Arial"/>
          <w:sz w:val="20"/>
        </w:rPr>
        <w:t>By October 2012 Kazakhstan received a cumulative of 54 million USD from the Global Fund to combat TB and it is ranked 14</w:t>
      </w:r>
      <w:r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among GF-supported countries in terms of TB disbursement. </w:t>
      </w:r>
    </w:p>
    <w:p w14:paraId="492D6EF1" w14:textId="77777777" w:rsidR="002A6F93" w:rsidRDefault="002A6F93" w:rsidP="002A6F93">
      <w:pPr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DOTS</w:t>
      </w:r>
      <w:r>
        <w:rPr>
          <w:rFonts w:cs="Arial"/>
          <w:b/>
          <w:sz w:val="20"/>
        </w:rPr>
        <w:t>:</w:t>
      </w:r>
      <w:r>
        <w:rPr>
          <w:rFonts w:cs="Arial"/>
          <w:sz w:val="20"/>
        </w:rPr>
        <w:t xml:space="preserve"> Kazakhstan witnessed a major upsurge in TB incidence and mortality in 90’s. </w:t>
      </w:r>
      <w:r>
        <w:rPr>
          <w:rFonts w:cs="Arial"/>
          <w:b/>
          <w:sz w:val="20"/>
        </w:rPr>
        <w:t>The current trend of TB incidence, prevalence and mortality demonstrated substantive reductions in burden (68%, 79% and 67%) compared to the peak in 1998.</w:t>
      </w:r>
      <w:r>
        <w:rPr>
          <w:rFonts w:cs="Arial"/>
          <w:sz w:val="20"/>
        </w:rPr>
        <w:t xml:space="preserve"> Case notification rate also peaked in early 2000 (173 per 100.000 population) and started steady decline since then, reaching 113 per 100.000 in 2011. The case detection rate reached 92% in 2011. Out of the 12249 new pulmonary TB cases only 50% have a bacteriological confirmation indicating that almost half of the TB cases are diagnosed and started treatment based on the clinical picture or chest X-ray.  Male to female ratio for new smear-positive TB cases was 1.6 and the most affected age group was 25-34. </w:t>
      </w:r>
    </w:p>
    <w:p w14:paraId="6F05FA46" w14:textId="77777777" w:rsidR="002A6F93" w:rsidRDefault="002A6F93" w:rsidP="002A6F93">
      <w:pPr>
        <w:rPr>
          <w:rFonts w:cs="Arial"/>
          <w:sz w:val="20"/>
        </w:rPr>
      </w:pPr>
      <w:r>
        <w:rPr>
          <w:rFonts w:cs="Arial"/>
          <w:b/>
          <w:sz w:val="20"/>
        </w:rPr>
        <w:t>Treatment success rate for New Smear Positive TB cases is low and constitutes 61% for 2010 cohort.</w:t>
      </w:r>
      <w:r>
        <w:rPr>
          <w:rFonts w:cs="Arial"/>
          <w:sz w:val="20"/>
        </w:rPr>
        <w:t xml:space="preserve"> Treatment success  declined from 71% to 61% in the 2006-2010 (with the failure rate of 7%, death rate of 3% and defaulter rate of 5%); 27% cases were not evaluated as majority of these patients were diagnosed having MDR TB and second-line TB treatment has been initiated. </w:t>
      </w:r>
    </w:p>
    <w:p w14:paraId="535F50C1" w14:textId="77777777" w:rsidR="002A6F93" w:rsidRDefault="002A6F93" w:rsidP="002A6F93">
      <w:pPr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MDR TB</w:t>
      </w:r>
      <w:r>
        <w:rPr>
          <w:rFonts w:cs="Arial"/>
          <w:sz w:val="20"/>
        </w:rPr>
        <w:t xml:space="preserve">: In 2011 DST was performed for 5293 (83%) new and 4790 (80%) retreatment bacteriologically-confirmed cases. </w:t>
      </w:r>
      <w:r>
        <w:rPr>
          <w:rFonts w:cs="Arial"/>
          <w:b/>
          <w:sz w:val="20"/>
        </w:rPr>
        <w:t>MDR TB was confirmed in 7408 cases. 4684 (63%) of confirmed MDR TB patients were enrolled on second-line TB treatment.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Treatment outcome for 2009 MDR TB cohort was quite good reaching 73%.</w:t>
      </w:r>
      <w:r>
        <w:rPr>
          <w:rFonts w:cs="Arial"/>
          <w:sz w:val="20"/>
        </w:rPr>
        <w:t xml:space="preserve"> However, MDR-TB is one of the major public health threats to the success of implementation of TB program. </w:t>
      </w:r>
    </w:p>
    <w:p w14:paraId="0AA9E996" w14:textId="77777777" w:rsidR="002A6F93" w:rsidRDefault="002A6F93" w:rsidP="002A6F93">
      <w:pPr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TB/HIV</w:t>
      </w:r>
      <w:r>
        <w:rPr>
          <w:rFonts w:cs="Arial"/>
          <w:sz w:val="20"/>
          <w:u w:val="single"/>
        </w:rPr>
        <w:t>: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85% of TB cases knew their HIV status, 2% were co-infected, however only 9% of TB/HIV co-infected patients were put on ART.</w:t>
      </w:r>
      <w:r>
        <w:rPr>
          <w:rFonts w:cs="Arial"/>
          <w:sz w:val="20"/>
        </w:rPr>
        <w:t xml:space="preserve"> Low ART coverage in TB patients explains poor treatment outcome for TB/HIV co-infected cases, which only equals 35% in new smear-positive cases for 2010 cohort and deaths (32%), failure (8%), default (3%)  account for unfavourable outcome (cohort size– 75 smear-positive TB patients confected with HIV) . In 2011 547 PLHIV were screened for TB and 1329 PLHIV received IPT. </w:t>
      </w:r>
    </w:p>
    <w:p w14:paraId="3372E16E" w14:textId="77777777" w:rsidR="002A6F93" w:rsidRDefault="002A6F93" w:rsidP="002A6F93">
      <w:pPr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TB in prisons</w:t>
      </w:r>
      <w:r>
        <w:rPr>
          <w:rFonts w:cs="Arial"/>
          <w:b/>
          <w:sz w:val="20"/>
        </w:rPr>
        <w:t>: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TB notification rate in penitentiary system is almost 5-times higher than in civil population</w:t>
      </w:r>
      <w:r>
        <w:rPr>
          <w:rFonts w:cs="Arial"/>
          <w:sz w:val="20"/>
        </w:rPr>
        <w:t xml:space="preserve">. However, increased coverage with treatment of drug-susceptible TB and improved diagnosis allowed the prison sector to decrease the TB burden (case notification rate dropped from 2316/per 100.000 in 2002 to 523 per 100.000 in 2011). Treatment success rate is also relatively lower than in the civil sector – 54% for 2010 cohort. </w:t>
      </w:r>
    </w:p>
    <w:p w14:paraId="593F0CCE" w14:textId="77777777" w:rsidR="002A6F93" w:rsidRDefault="002A6F93" w:rsidP="002A6F93">
      <w:pPr>
        <w:rPr>
          <w:rFonts w:cs="Arial"/>
          <w:sz w:val="20"/>
        </w:rPr>
      </w:pPr>
      <w:r>
        <w:rPr>
          <w:rFonts w:cs="Arial"/>
          <w:sz w:val="20"/>
        </w:rPr>
        <w:t xml:space="preserve">Based on the above (decreasing trend TB in disease burden, high TB detection rate and good treatment outcome for MDR TB) the country is </w:t>
      </w:r>
      <w:r>
        <w:rPr>
          <w:rFonts w:cs="Arial"/>
          <w:b/>
          <w:i/>
          <w:sz w:val="20"/>
        </w:rPr>
        <w:t>making progress towards impact</w:t>
      </w:r>
      <w:r>
        <w:rPr>
          <w:rFonts w:cs="Arial"/>
          <w:sz w:val="20"/>
        </w:rPr>
        <w:t xml:space="preserve">, with significant progress on scaling up MDR TB response and screening of TB patients for HIV. </w:t>
      </w:r>
      <w:r>
        <w:rPr>
          <w:rFonts w:cs="Arial"/>
          <w:sz w:val="20"/>
        </w:rPr>
        <w:br/>
      </w:r>
    </w:p>
    <w:p w14:paraId="00649B6E" w14:textId="77777777" w:rsidR="00FB1B76" w:rsidRDefault="00FB1B76" w:rsidP="00FB1B76">
      <w:pPr>
        <w:rPr>
          <w:rFonts w:cs="Arial"/>
          <w:sz w:val="20"/>
        </w:rPr>
      </w:pPr>
    </w:p>
    <w:p w14:paraId="2EAB8316" w14:textId="7A04A496" w:rsidR="00FB1B76" w:rsidRPr="00AF37E1" w:rsidRDefault="00FB1B76" w:rsidP="00FB1B76">
      <w:pPr>
        <w:rPr>
          <w:rFonts w:cs="Arial"/>
          <w:sz w:val="20"/>
        </w:rPr>
      </w:pPr>
      <w:r>
        <w:rPr>
          <w:rFonts w:cs="Arial"/>
          <w:sz w:val="20"/>
        </w:rPr>
        <w:t>For more information, refer to the annexe</w:t>
      </w:r>
      <w:r w:rsidR="006D0C79">
        <w:rPr>
          <w:rFonts w:cs="Arial"/>
          <w:sz w:val="20"/>
        </w:rPr>
        <w:t xml:space="preserve"> at the end of the document</w:t>
      </w:r>
      <w:r>
        <w:rPr>
          <w:rFonts w:cs="Arial"/>
          <w:sz w:val="20"/>
        </w:rPr>
        <w:t>.</w:t>
      </w:r>
      <w:r w:rsidRPr="00AF37E1">
        <w:rPr>
          <w:rFonts w:cs="Arial"/>
          <w:sz w:val="20"/>
        </w:rPr>
        <w:br/>
      </w:r>
    </w:p>
    <w:p w14:paraId="123E74E8" w14:textId="77777777" w:rsidR="006D0C79" w:rsidRDefault="006D0C79" w:rsidP="00FB1B76">
      <w:pPr>
        <w:rPr>
          <w:rFonts w:cs="Arial"/>
          <w:sz w:val="20"/>
        </w:rPr>
      </w:pPr>
    </w:p>
    <w:p w14:paraId="530D85CF" w14:textId="77777777" w:rsidR="002A6F93" w:rsidRPr="00AF37E1" w:rsidRDefault="002A6F93" w:rsidP="00FB1B76">
      <w:pPr>
        <w:rPr>
          <w:rFonts w:cs="Arial"/>
          <w:sz w:val="20"/>
        </w:rPr>
      </w:pPr>
    </w:p>
    <w:p w14:paraId="335B1B13" w14:textId="18103B0A" w:rsidR="00FB1B76" w:rsidRPr="00AF37E1" w:rsidRDefault="006D0C79" w:rsidP="006D0C7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2. Programmatic Performance</w:t>
      </w:r>
      <w:r w:rsidR="0083362C">
        <w:rPr>
          <w:rFonts w:cs="Arial"/>
          <w:b/>
          <w:sz w:val="20"/>
        </w:rPr>
        <w:t xml:space="preserve"> KAZ-809-G04-T</w:t>
      </w:r>
    </w:p>
    <w:p w14:paraId="7A70595A" w14:textId="4E1F7F9B" w:rsidR="00FB1B76" w:rsidRPr="00AF37E1" w:rsidRDefault="006D0C79" w:rsidP="006D0C79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Outcome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418"/>
        <w:gridCol w:w="1559"/>
        <w:gridCol w:w="1621"/>
      </w:tblGrid>
      <w:tr w:rsidR="00FB1B76" w:rsidRPr="00AF37E1" w14:paraId="3496C8C3" w14:textId="77777777" w:rsidTr="00FB1B76">
        <w:tc>
          <w:tcPr>
            <w:tcW w:w="3510" w:type="dxa"/>
            <w:vAlign w:val="center"/>
          </w:tcPr>
          <w:p w14:paraId="4320DB0A" w14:textId="77777777" w:rsidR="00FB1B76" w:rsidRPr="00AF37E1" w:rsidRDefault="00FB1B76" w:rsidP="00FB1B76">
            <w:pPr>
              <w:jc w:val="center"/>
              <w:rPr>
                <w:rFonts w:cs="Arial"/>
                <w:b/>
                <w:sz w:val="20"/>
              </w:rPr>
            </w:pPr>
            <w:r w:rsidRPr="00AF37E1">
              <w:rPr>
                <w:rFonts w:cs="Arial"/>
                <w:b/>
                <w:sz w:val="20"/>
              </w:rPr>
              <w:t>Indicator</w:t>
            </w:r>
          </w:p>
        </w:tc>
        <w:tc>
          <w:tcPr>
            <w:tcW w:w="1134" w:type="dxa"/>
            <w:vAlign w:val="center"/>
          </w:tcPr>
          <w:p w14:paraId="5E7FE686" w14:textId="77777777" w:rsidR="00FB1B76" w:rsidRPr="00AF37E1" w:rsidRDefault="00FB1B76" w:rsidP="00FB1B76">
            <w:pPr>
              <w:jc w:val="center"/>
              <w:rPr>
                <w:rFonts w:cs="Arial"/>
                <w:b/>
                <w:sz w:val="20"/>
              </w:rPr>
            </w:pPr>
            <w:r w:rsidRPr="00AF37E1">
              <w:rPr>
                <w:rFonts w:cs="Arial"/>
                <w:b/>
                <w:sz w:val="20"/>
              </w:rPr>
              <w:t>Baseline</w:t>
            </w:r>
          </w:p>
        </w:tc>
        <w:tc>
          <w:tcPr>
            <w:tcW w:w="1418" w:type="dxa"/>
            <w:vAlign w:val="center"/>
          </w:tcPr>
          <w:p w14:paraId="6BBB7EFD" w14:textId="77777777" w:rsidR="00FB1B76" w:rsidRPr="00AF37E1" w:rsidRDefault="00FB1B76" w:rsidP="00FB1B76">
            <w:pPr>
              <w:jc w:val="center"/>
              <w:rPr>
                <w:rFonts w:cs="Arial"/>
                <w:b/>
                <w:sz w:val="20"/>
              </w:rPr>
            </w:pPr>
            <w:r w:rsidRPr="00AF37E1">
              <w:rPr>
                <w:rFonts w:cs="Arial"/>
                <w:b/>
                <w:sz w:val="20"/>
              </w:rPr>
              <w:t>Year</w:t>
            </w:r>
          </w:p>
        </w:tc>
        <w:tc>
          <w:tcPr>
            <w:tcW w:w="1559" w:type="dxa"/>
            <w:vAlign w:val="center"/>
          </w:tcPr>
          <w:p w14:paraId="1303A7B9" w14:textId="77777777" w:rsidR="00FB1B76" w:rsidRPr="00AF37E1" w:rsidRDefault="00FB1B76" w:rsidP="00FB1B76">
            <w:pPr>
              <w:jc w:val="center"/>
              <w:rPr>
                <w:rFonts w:cs="Arial"/>
                <w:b/>
                <w:sz w:val="20"/>
              </w:rPr>
            </w:pPr>
            <w:r w:rsidRPr="00AF37E1">
              <w:rPr>
                <w:rFonts w:cs="Arial"/>
                <w:b/>
                <w:sz w:val="20"/>
              </w:rPr>
              <w:t>Target 2012</w:t>
            </w:r>
          </w:p>
        </w:tc>
        <w:tc>
          <w:tcPr>
            <w:tcW w:w="1621" w:type="dxa"/>
            <w:vAlign w:val="center"/>
          </w:tcPr>
          <w:p w14:paraId="0E4628C5" w14:textId="77777777" w:rsidR="00FB1B76" w:rsidRPr="00AF37E1" w:rsidRDefault="00FB1B76" w:rsidP="00FB1B76">
            <w:pPr>
              <w:jc w:val="center"/>
              <w:rPr>
                <w:rFonts w:cs="Arial"/>
                <w:b/>
                <w:sz w:val="20"/>
              </w:rPr>
            </w:pPr>
            <w:r w:rsidRPr="00AF37E1">
              <w:rPr>
                <w:rFonts w:cs="Arial"/>
                <w:b/>
                <w:sz w:val="20"/>
              </w:rPr>
              <w:t>Result 2012</w:t>
            </w:r>
          </w:p>
        </w:tc>
      </w:tr>
      <w:tr w:rsidR="00FB1B76" w:rsidRPr="00AF37E1" w14:paraId="5F75223A" w14:textId="77777777" w:rsidTr="00FB1B76">
        <w:tc>
          <w:tcPr>
            <w:tcW w:w="3510" w:type="dxa"/>
          </w:tcPr>
          <w:p w14:paraId="17A0A75A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Notification rate: new TB cases and relapses</w:t>
            </w:r>
          </w:p>
        </w:tc>
        <w:tc>
          <w:tcPr>
            <w:tcW w:w="1134" w:type="dxa"/>
            <w:vAlign w:val="center"/>
          </w:tcPr>
          <w:p w14:paraId="0940D841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131</w:t>
            </w:r>
          </w:p>
        </w:tc>
        <w:tc>
          <w:tcPr>
            <w:tcW w:w="1418" w:type="dxa"/>
            <w:vAlign w:val="center"/>
          </w:tcPr>
          <w:p w14:paraId="17B4DDB4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2009</w:t>
            </w:r>
          </w:p>
        </w:tc>
        <w:tc>
          <w:tcPr>
            <w:tcW w:w="1559" w:type="dxa"/>
            <w:vAlign w:val="center"/>
          </w:tcPr>
          <w:p w14:paraId="10A9FCB0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124</w:t>
            </w:r>
          </w:p>
        </w:tc>
        <w:tc>
          <w:tcPr>
            <w:tcW w:w="1621" w:type="dxa"/>
            <w:vAlign w:val="center"/>
          </w:tcPr>
          <w:p w14:paraId="644FAB8D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114.1</w:t>
            </w:r>
          </w:p>
        </w:tc>
      </w:tr>
      <w:tr w:rsidR="00FB1B76" w:rsidRPr="00AF37E1" w14:paraId="43DBCE89" w14:textId="77777777" w:rsidTr="00FB1B76">
        <w:tc>
          <w:tcPr>
            <w:tcW w:w="3510" w:type="dxa"/>
          </w:tcPr>
          <w:p w14:paraId="2BAEFB64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Notification rate: new smear positive TB cases</w:t>
            </w:r>
          </w:p>
        </w:tc>
        <w:tc>
          <w:tcPr>
            <w:tcW w:w="1134" w:type="dxa"/>
            <w:vAlign w:val="center"/>
          </w:tcPr>
          <w:p w14:paraId="72EEE984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33.7</w:t>
            </w:r>
          </w:p>
        </w:tc>
        <w:tc>
          <w:tcPr>
            <w:tcW w:w="1418" w:type="dxa"/>
            <w:vAlign w:val="center"/>
          </w:tcPr>
          <w:p w14:paraId="52816403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2009</w:t>
            </w:r>
          </w:p>
        </w:tc>
        <w:tc>
          <w:tcPr>
            <w:tcW w:w="1559" w:type="dxa"/>
            <w:vAlign w:val="center"/>
          </w:tcPr>
          <w:p w14:paraId="48E6B90E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33</w:t>
            </w:r>
          </w:p>
        </w:tc>
        <w:tc>
          <w:tcPr>
            <w:tcW w:w="1621" w:type="dxa"/>
            <w:vAlign w:val="center"/>
          </w:tcPr>
          <w:p w14:paraId="5656327D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26</w:t>
            </w:r>
          </w:p>
        </w:tc>
      </w:tr>
      <w:tr w:rsidR="00FB1B76" w:rsidRPr="00AF37E1" w14:paraId="4875D501" w14:textId="77777777" w:rsidTr="00FB1B76">
        <w:tc>
          <w:tcPr>
            <w:tcW w:w="3510" w:type="dxa"/>
          </w:tcPr>
          <w:p w14:paraId="628F318A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Treatment success rate: new smear positive TB cases</w:t>
            </w:r>
          </w:p>
        </w:tc>
        <w:tc>
          <w:tcPr>
            <w:tcW w:w="1134" w:type="dxa"/>
            <w:vAlign w:val="center"/>
          </w:tcPr>
          <w:p w14:paraId="2A6C57D2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61%</w:t>
            </w:r>
          </w:p>
        </w:tc>
        <w:tc>
          <w:tcPr>
            <w:tcW w:w="1418" w:type="dxa"/>
            <w:vAlign w:val="center"/>
          </w:tcPr>
          <w:p w14:paraId="1971E138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2011</w:t>
            </w:r>
          </w:p>
        </w:tc>
        <w:tc>
          <w:tcPr>
            <w:tcW w:w="1559" w:type="dxa"/>
            <w:vAlign w:val="center"/>
          </w:tcPr>
          <w:p w14:paraId="40D9D139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76%</w:t>
            </w:r>
          </w:p>
        </w:tc>
        <w:tc>
          <w:tcPr>
            <w:tcW w:w="1621" w:type="dxa"/>
            <w:vAlign w:val="center"/>
          </w:tcPr>
          <w:p w14:paraId="7F3C542A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60.8%</w:t>
            </w:r>
          </w:p>
        </w:tc>
      </w:tr>
      <w:tr w:rsidR="00FB1B76" w:rsidRPr="00AF37E1" w14:paraId="2497F91B" w14:textId="77777777" w:rsidTr="00FB1B76">
        <w:tc>
          <w:tcPr>
            <w:tcW w:w="3510" w:type="dxa"/>
          </w:tcPr>
          <w:p w14:paraId="6B796A0B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Treatment success rate of MDR-TB patients; number of patients who were cured +completed Category IV treatment (% of the total number of patients in the same registration cohort)</w:t>
            </w:r>
          </w:p>
        </w:tc>
        <w:tc>
          <w:tcPr>
            <w:tcW w:w="1134" w:type="dxa"/>
            <w:vAlign w:val="center"/>
          </w:tcPr>
          <w:p w14:paraId="2BE60A4E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N\A</w:t>
            </w:r>
          </w:p>
        </w:tc>
        <w:tc>
          <w:tcPr>
            <w:tcW w:w="1418" w:type="dxa"/>
            <w:vAlign w:val="center"/>
          </w:tcPr>
          <w:p w14:paraId="332611CD" w14:textId="77777777" w:rsidR="00FB1B76" w:rsidRPr="00AF37E1" w:rsidRDefault="00FB1B76" w:rsidP="00FB1B76">
            <w:pPr>
              <w:jc w:val="center"/>
              <w:rPr>
                <w:rFonts w:cs="Arial"/>
                <w:caps/>
                <w:sz w:val="20"/>
              </w:rPr>
            </w:pPr>
            <w:r w:rsidRPr="00AF37E1">
              <w:rPr>
                <w:rFonts w:cs="Arial"/>
                <w:sz w:val="20"/>
              </w:rPr>
              <w:t>N\A</w:t>
            </w:r>
          </w:p>
        </w:tc>
        <w:tc>
          <w:tcPr>
            <w:tcW w:w="1559" w:type="dxa"/>
            <w:vAlign w:val="center"/>
          </w:tcPr>
          <w:p w14:paraId="5685B98B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70%</w:t>
            </w:r>
          </w:p>
        </w:tc>
        <w:tc>
          <w:tcPr>
            <w:tcW w:w="1621" w:type="dxa"/>
            <w:vAlign w:val="center"/>
          </w:tcPr>
          <w:p w14:paraId="632BDBB1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75.7%</w:t>
            </w:r>
          </w:p>
        </w:tc>
      </w:tr>
      <w:tr w:rsidR="00FB1B76" w:rsidRPr="00AF37E1" w14:paraId="1072774F" w14:textId="77777777" w:rsidTr="00FB1B76">
        <w:tc>
          <w:tcPr>
            <w:tcW w:w="3510" w:type="dxa"/>
          </w:tcPr>
          <w:p w14:paraId="753C588C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MDR-TB prevalence among new smear positive TB cases</w:t>
            </w:r>
          </w:p>
        </w:tc>
        <w:tc>
          <w:tcPr>
            <w:tcW w:w="1134" w:type="dxa"/>
            <w:vAlign w:val="center"/>
          </w:tcPr>
          <w:p w14:paraId="271DE799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25.3%</w:t>
            </w:r>
          </w:p>
        </w:tc>
        <w:tc>
          <w:tcPr>
            <w:tcW w:w="1418" w:type="dxa"/>
            <w:vAlign w:val="center"/>
          </w:tcPr>
          <w:p w14:paraId="414AB245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2010</w:t>
            </w:r>
          </w:p>
        </w:tc>
        <w:tc>
          <w:tcPr>
            <w:tcW w:w="1559" w:type="dxa"/>
            <w:vAlign w:val="center"/>
          </w:tcPr>
          <w:p w14:paraId="69A5EB2A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23%</w:t>
            </w:r>
          </w:p>
        </w:tc>
        <w:tc>
          <w:tcPr>
            <w:tcW w:w="1621" w:type="dxa"/>
            <w:vAlign w:val="center"/>
          </w:tcPr>
          <w:p w14:paraId="1D3B8BE4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19.1%</w:t>
            </w:r>
          </w:p>
        </w:tc>
      </w:tr>
      <w:tr w:rsidR="00FB1B76" w:rsidRPr="00AF37E1" w14:paraId="2973FA76" w14:textId="77777777" w:rsidTr="00FB1B76">
        <w:tc>
          <w:tcPr>
            <w:tcW w:w="3510" w:type="dxa"/>
          </w:tcPr>
          <w:p w14:paraId="1257BE23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MDR-TB prevalence among previously treated smear positive cases</w:t>
            </w:r>
          </w:p>
        </w:tc>
        <w:tc>
          <w:tcPr>
            <w:tcW w:w="1134" w:type="dxa"/>
            <w:vAlign w:val="center"/>
          </w:tcPr>
          <w:p w14:paraId="4B25ED2D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45%</w:t>
            </w:r>
          </w:p>
        </w:tc>
        <w:tc>
          <w:tcPr>
            <w:tcW w:w="1418" w:type="dxa"/>
            <w:vAlign w:val="center"/>
          </w:tcPr>
          <w:p w14:paraId="0908B47D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2010</w:t>
            </w:r>
          </w:p>
        </w:tc>
        <w:tc>
          <w:tcPr>
            <w:tcW w:w="1559" w:type="dxa"/>
            <w:vAlign w:val="center"/>
          </w:tcPr>
          <w:p w14:paraId="2E00CA6C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45%</w:t>
            </w:r>
          </w:p>
        </w:tc>
        <w:tc>
          <w:tcPr>
            <w:tcW w:w="1621" w:type="dxa"/>
            <w:vAlign w:val="center"/>
          </w:tcPr>
          <w:p w14:paraId="6F624EBF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53.3%</w:t>
            </w:r>
          </w:p>
        </w:tc>
      </w:tr>
    </w:tbl>
    <w:p w14:paraId="615C4B1F" w14:textId="77777777" w:rsidR="00FB1B76" w:rsidRPr="00AF37E1" w:rsidRDefault="00FB1B76" w:rsidP="00FB1B76">
      <w:pPr>
        <w:jc w:val="center"/>
        <w:rPr>
          <w:rFonts w:cs="Arial"/>
          <w:b/>
          <w:sz w:val="20"/>
        </w:rPr>
      </w:pPr>
    </w:p>
    <w:p w14:paraId="2CBABE54" w14:textId="77777777" w:rsidR="00FB1B76" w:rsidRPr="00AF37E1" w:rsidRDefault="00FB1B76" w:rsidP="00FB1B76">
      <w:pPr>
        <w:jc w:val="center"/>
        <w:rPr>
          <w:rFonts w:cs="Arial"/>
          <w:b/>
          <w:sz w:val="20"/>
        </w:rPr>
      </w:pPr>
      <w:r w:rsidRPr="00AF37E1">
        <w:rPr>
          <w:rFonts w:cs="Arial"/>
          <w:b/>
          <w:sz w:val="20"/>
        </w:rPr>
        <w:t>Output indicators</w:t>
      </w:r>
    </w:p>
    <w:p w14:paraId="13245CBB" w14:textId="77777777" w:rsidR="00FB1B76" w:rsidRPr="00AF37E1" w:rsidRDefault="00FB1B76" w:rsidP="00FB1B76">
      <w:pPr>
        <w:rPr>
          <w:sz w:val="20"/>
        </w:rPr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5506"/>
        <w:gridCol w:w="1334"/>
        <w:gridCol w:w="1334"/>
        <w:gridCol w:w="1485"/>
      </w:tblGrid>
      <w:tr w:rsidR="00FB1B76" w:rsidRPr="00AF37E1" w14:paraId="1F8B6324" w14:textId="77777777" w:rsidTr="00FB1B76">
        <w:tc>
          <w:tcPr>
            <w:tcW w:w="5506" w:type="dxa"/>
            <w:vAlign w:val="center"/>
          </w:tcPr>
          <w:p w14:paraId="75063EF5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Indicator</w:t>
            </w:r>
          </w:p>
        </w:tc>
        <w:tc>
          <w:tcPr>
            <w:tcW w:w="1334" w:type="dxa"/>
            <w:vAlign w:val="center"/>
          </w:tcPr>
          <w:p w14:paraId="0BAA32B8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Cumulative Target</w:t>
            </w:r>
          </w:p>
        </w:tc>
        <w:tc>
          <w:tcPr>
            <w:tcW w:w="1334" w:type="dxa"/>
            <w:vAlign w:val="center"/>
          </w:tcPr>
          <w:p w14:paraId="1B687E1C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Cumulative Result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12BAB3AB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Percentage Achievement</w:t>
            </w:r>
          </w:p>
        </w:tc>
      </w:tr>
      <w:tr w:rsidR="00FB1B76" w:rsidRPr="00AF37E1" w14:paraId="126EFBFD" w14:textId="77777777" w:rsidTr="00FB1B76">
        <w:tc>
          <w:tcPr>
            <w:tcW w:w="5506" w:type="dxa"/>
            <w:vAlign w:val="center"/>
          </w:tcPr>
          <w:p w14:paraId="41672283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Number of PHC and TB service staff trained in DR-TB management locally</w:t>
            </w:r>
          </w:p>
        </w:tc>
        <w:tc>
          <w:tcPr>
            <w:tcW w:w="1334" w:type="dxa"/>
            <w:vAlign w:val="center"/>
          </w:tcPr>
          <w:p w14:paraId="2CA3CB8A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400</w:t>
            </w:r>
          </w:p>
        </w:tc>
        <w:tc>
          <w:tcPr>
            <w:tcW w:w="1334" w:type="dxa"/>
            <w:vAlign w:val="center"/>
          </w:tcPr>
          <w:p w14:paraId="22C43FB5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403</w:t>
            </w:r>
          </w:p>
        </w:tc>
        <w:tc>
          <w:tcPr>
            <w:tcW w:w="1485" w:type="dxa"/>
            <w:shd w:val="clear" w:color="auto" w:fill="00B050"/>
            <w:vAlign w:val="center"/>
          </w:tcPr>
          <w:p w14:paraId="5DCCBCAC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101%</w:t>
            </w:r>
          </w:p>
        </w:tc>
      </w:tr>
      <w:tr w:rsidR="00FB1B76" w:rsidRPr="00AF37E1" w14:paraId="3280514B" w14:textId="77777777" w:rsidTr="00FB1B76">
        <w:tc>
          <w:tcPr>
            <w:tcW w:w="5506" w:type="dxa"/>
            <w:vAlign w:val="center"/>
          </w:tcPr>
          <w:p w14:paraId="46C5C2CC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Number of TB cases with results for second line diagnostic drug susceptibility testing for MDR-TB during the reporting period</w:t>
            </w:r>
          </w:p>
        </w:tc>
        <w:tc>
          <w:tcPr>
            <w:tcW w:w="1334" w:type="dxa"/>
            <w:vAlign w:val="center"/>
          </w:tcPr>
          <w:p w14:paraId="2BCED431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4200</w:t>
            </w:r>
          </w:p>
        </w:tc>
        <w:tc>
          <w:tcPr>
            <w:tcW w:w="1334" w:type="dxa"/>
            <w:vAlign w:val="center"/>
          </w:tcPr>
          <w:p w14:paraId="38AF2B9A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6203</w:t>
            </w:r>
          </w:p>
        </w:tc>
        <w:tc>
          <w:tcPr>
            <w:tcW w:w="1485" w:type="dxa"/>
            <w:shd w:val="clear" w:color="auto" w:fill="00B050"/>
            <w:vAlign w:val="center"/>
          </w:tcPr>
          <w:p w14:paraId="33287795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120%</w:t>
            </w:r>
          </w:p>
        </w:tc>
      </w:tr>
      <w:tr w:rsidR="00FB1B76" w:rsidRPr="00AF37E1" w14:paraId="4BEF160E" w14:textId="77777777" w:rsidTr="00FB1B76">
        <w:tc>
          <w:tcPr>
            <w:tcW w:w="5506" w:type="dxa"/>
            <w:vAlign w:val="center"/>
          </w:tcPr>
          <w:p w14:paraId="7FBB6CA1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Number of laboratory-confirmed MDR-TB cases enrolled on second-line anti-TB treatment</w:t>
            </w:r>
          </w:p>
        </w:tc>
        <w:tc>
          <w:tcPr>
            <w:tcW w:w="1334" w:type="dxa"/>
            <w:vAlign w:val="center"/>
          </w:tcPr>
          <w:p w14:paraId="54435A24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1400</w:t>
            </w:r>
          </w:p>
        </w:tc>
        <w:tc>
          <w:tcPr>
            <w:tcW w:w="1334" w:type="dxa"/>
            <w:vAlign w:val="center"/>
          </w:tcPr>
          <w:p w14:paraId="36E60872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1511</w:t>
            </w:r>
          </w:p>
        </w:tc>
        <w:tc>
          <w:tcPr>
            <w:tcW w:w="1485" w:type="dxa"/>
            <w:shd w:val="clear" w:color="auto" w:fill="00B050"/>
            <w:vAlign w:val="center"/>
          </w:tcPr>
          <w:p w14:paraId="31DED070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108%</w:t>
            </w:r>
          </w:p>
        </w:tc>
      </w:tr>
      <w:tr w:rsidR="00FB1B76" w:rsidRPr="00AF37E1" w14:paraId="79DF8F89" w14:textId="77777777" w:rsidTr="00FB1B76">
        <w:tc>
          <w:tcPr>
            <w:tcW w:w="5506" w:type="dxa"/>
            <w:vAlign w:val="center"/>
          </w:tcPr>
          <w:p w14:paraId="2E2DE7DC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Interim treatment success rate of MDR TB patients: number of patients who are smear and culture negative at 6 months after start of treatment (% of the total number of patients in the same registration cohort)</w:t>
            </w:r>
          </w:p>
        </w:tc>
        <w:tc>
          <w:tcPr>
            <w:tcW w:w="1334" w:type="dxa"/>
            <w:vAlign w:val="center"/>
          </w:tcPr>
          <w:p w14:paraId="3224B56B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 xml:space="preserve">N: 1,867 </w:t>
            </w:r>
            <w:r w:rsidRPr="00AF37E1">
              <w:rPr>
                <w:rFonts w:cs="Arial"/>
                <w:sz w:val="20"/>
                <w:lang w:eastAsia="en-GB"/>
              </w:rPr>
              <w:br/>
              <w:t xml:space="preserve">D: 2,277 </w:t>
            </w:r>
            <w:r w:rsidRPr="00AF37E1">
              <w:rPr>
                <w:rFonts w:cs="Arial"/>
                <w:sz w:val="20"/>
                <w:lang w:eastAsia="en-GB"/>
              </w:rPr>
              <w:br/>
              <w:t>P: 82 %</w:t>
            </w:r>
          </w:p>
        </w:tc>
        <w:tc>
          <w:tcPr>
            <w:tcW w:w="1334" w:type="dxa"/>
            <w:vAlign w:val="center"/>
          </w:tcPr>
          <w:p w14:paraId="4550A330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 xml:space="preserve">N: 521 </w:t>
            </w:r>
            <w:r w:rsidRPr="00AF37E1">
              <w:rPr>
                <w:rFonts w:cs="Arial"/>
                <w:sz w:val="20"/>
                <w:lang w:eastAsia="en-GB"/>
              </w:rPr>
              <w:br/>
              <w:t xml:space="preserve">D: 574 </w:t>
            </w:r>
            <w:r w:rsidRPr="00AF37E1">
              <w:rPr>
                <w:rFonts w:cs="Arial"/>
                <w:sz w:val="20"/>
                <w:lang w:eastAsia="en-GB"/>
              </w:rPr>
              <w:br/>
              <w:t>P: 90.8 %</w:t>
            </w:r>
          </w:p>
        </w:tc>
        <w:tc>
          <w:tcPr>
            <w:tcW w:w="1485" w:type="dxa"/>
            <w:shd w:val="clear" w:color="auto" w:fill="00B050"/>
            <w:vAlign w:val="center"/>
          </w:tcPr>
          <w:p w14:paraId="41912FB2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111%</w:t>
            </w:r>
          </w:p>
        </w:tc>
      </w:tr>
      <w:tr w:rsidR="00FB1B76" w:rsidRPr="00AF37E1" w14:paraId="62F15B13" w14:textId="77777777" w:rsidTr="00FB1B76">
        <w:tc>
          <w:tcPr>
            <w:tcW w:w="5506" w:type="dxa"/>
            <w:vAlign w:val="center"/>
          </w:tcPr>
          <w:p w14:paraId="10926CBD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Number of MDR-TB patients reached with education and counselling sessions by adherence counsellors</w:t>
            </w:r>
          </w:p>
        </w:tc>
        <w:tc>
          <w:tcPr>
            <w:tcW w:w="1334" w:type="dxa"/>
            <w:vAlign w:val="center"/>
          </w:tcPr>
          <w:p w14:paraId="5C624CC6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4800</w:t>
            </w:r>
          </w:p>
        </w:tc>
        <w:tc>
          <w:tcPr>
            <w:tcW w:w="1334" w:type="dxa"/>
            <w:vAlign w:val="center"/>
          </w:tcPr>
          <w:p w14:paraId="42283806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4829</w:t>
            </w:r>
          </w:p>
        </w:tc>
        <w:tc>
          <w:tcPr>
            <w:tcW w:w="1485" w:type="dxa"/>
            <w:shd w:val="clear" w:color="auto" w:fill="00B050"/>
            <w:vAlign w:val="center"/>
          </w:tcPr>
          <w:p w14:paraId="1BFA0DD5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101%</w:t>
            </w:r>
          </w:p>
        </w:tc>
      </w:tr>
      <w:tr w:rsidR="00FB1B76" w:rsidRPr="00AF37E1" w14:paraId="2E565BBB" w14:textId="77777777" w:rsidTr="00FB1B76">
        <w:tc>
          <w:tcPr>
            <w:tcW w:w="5506" w:type="dxa"/>
            <w:vAlign w:val="center"/>
          </w:tcPr>
          <w:p w14:paraId="603FD8AB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Number of MDR-TB patients on treatment receiving all scheduled monthly food and hygienic packages for better adherence to treatment during the reporting period.</w:t>
            </w:r>
          </w:p>
        </w:tc>
        <w:tc>
          <w:tcPr>
            <w:tcW w:w="1334" w:type="dxa"/>
            <w:vAlign w:val="center"/>
          </w:tcPr>
          <w:p w14:paraId="0C680020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4630</w:t>
            </w:r>
          </w:p>
        </w:tc>
        <w:tc>
          <w:tcPr>
            <w:tcW w:w="1334" w:type="dxa"/>
            <w:vAlign w:val="center"/>
          </w:tcPr>
          <w:p w14:paraId="0CD9839A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5546</w:t>
            </w:r>
          </w:p>
        </w:tc>
        <w:tc>
          <w:tcPr>
            <w:tcW w:w="1485" w:type="dxa"/>
            <w:shd w:val="clear" w:color="auto" w:fill="00B050"/>
            <w:vAlign w:val="center"/>
          </w:tcPr>
          <w:p w14:paraId="0F9A525C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120%</w:t>
            </w:r>
          </w:p>
        </w:tc>
      </w:tr>
      <w:tr w:rsidR="00FB1B76" w:rsidRPr="00AF37E1" w14:paraId="54AD2800" w14:textId="77777777" w:rsidTr="00FB1B76">
        <w:tc>
          <w:tcPr>
            <w:tcW w:w="5506" w:type="dxa"/>
            <w:vAlign w:val="center"/>
          </w:tcPr>
          <w:p w14:paraId="4209D346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Number of TB service staff trained in infection control locally</w:t>
            </w:r>
          </w:p>
        </w:tc>
        <w:tc>
          <w:tcPr>
            <w:tcW w:w="1334" w:type="dxa"/>
            <w:vAlign w:val="center"/>
          </w:tcPr>
          <w:p w14:paraId="0DFB0311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41</w:t>
            </w:r>
          </w:p>
        </w:tc>
        <w:tc>
          <w:tcPr>
            <w:tcW w:w="1334" w:type="dxa"/>
            <w:vAlign w:val="center"/>
          </w:tcPr>
          <w:p w14:paraId="71B16675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66</w:t>
            </w:r>
          </w:p>
        </w:tc>
        <w:tc>
          <w:tcPr>
            <w:tcW w:w="1485" w:type="dxa"/>
            <w:shd w:val="clear" w:color="auto" w:fill="00B050"/>
            <w:vAlign w:val="center"/>
          </w:tcPr>
          <w:p w14:paraId="3DB49B0D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120%</w:t>
            </w:r>
          </w:p>
        </w:tc>
      </w:tr>
      <w:tr w:rsidR="00FB1B76" w:rsidRPr="00AF37E1" w14:paraId="200BA741" w14:textId="77777777" w:rsidTr="00FB1B76">
        <w:tc>
          <w:tcPr>
            <w:tcW w:w="5506" w:type="dxa"/>
            <w:vAlign w:val="center"/>
          </w:tcPr>
          <w:p w14:paraId="11E45F85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Number of patients investigated with drug susceptibility testing (DST) to 1st line drugs for DR-TB diagnosis using automated MGIT technique</w:t>
            </w:r>
          </w:p>
        </w:tc>
        <w:tc>
          <w:tcPr>
            <w:tcW w:w="1334" w:type="dxa"/>
            <w:vAlign w:val="center"/>
          </w:tcPr>
          <w:p w14:paraId="01312ACA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10000</w:t>
            </w:r>
          </w:p>
        </w:tc>
        <w:tc>
          <w:tcPr>
            <w:tcW w:w="1334" w:type="dxa"/>
            <w:vAlign w:val="center"/>
          </w:tcPr>
          <w:p w14:paraId="56434712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10880</w:t>
            </w:r>
          </w:p>
        </w:tc>
        <w:tc>
          <w:tcPr>
            <w:tcW w:w="1485" w:type="dxa"/>
            <w:shd w:val="clear" w:color="auto" w:fill="00B050"/>
            <w:vAlign w:val="center"/>
          </w:tcPr>
          <w:p w14:paraId="6E0A6683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109%</w:t>
            </w:r>
          </w:p>
        </w:tc>
      </w:tr>
      <w:tr w:rsidR="00FB1B76" w:rsidRPr="00AF37E1" w14:paraId="6D57D3F8" w14:textId="77777777" w:rsidTr="00FB1B76">
        <w:tc>
          <w:tcPr>
            <w:tcW w:w="5506" w:type="dxa"/>
            <w:vAlign w:val="center"/>
          </w:tcPr>
          <w:p w14:paraId="7A1C1F3C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Number of investigations of DST to 1st line drugs (manual technique)</w:t>
            </w:r>
          </w:p>
        </w:tc>
        <w:tc>
          <w:tcPr>
            <w:tcW w:w="1334" w:type="dxa"/>
            <w:vAlign w:val="center"/>
          </w:tcPr>
          <w:p w14:paraId="23E72A99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14000</w:t>
            </w:r>
          </w:p>
        </w:tc>
        <w:tc>
          <w:tcPr>
            <w:tcW w:w="1334" w:type="dxa"/>
            <w:vAlign w:val="center"/>
          </w:tcPr>
          <w:p w14:paraId="7659F556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20941</w:t>
            </w:r>
          </w:p>
        </w:tc>
        <w:tc>
          <w:tcPr>
            <w:tcW w:w="1485" w:type="dxa"/>
            <w:shd w:val="clear" w:color="auto" w:fill="00B050"/>
            <w:vAlign w:val="center"/>
          </w:tcPr>
          <w:p w14:paraId="7425E890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120%</w:t>
            </w:r>
          </w:p>
        </w:tc>
      </w:tr>
    </w:tbl>
    <w:p w14:paraId="0CC1DCEE" w14:textId="77777777" w:rsidR="00FB1B76" w:rsidRPr="00AF37E1" w:rsidRDefault="00FB1B76" w:rsidP="00FB1B76">
      <w:pPr>
        <w:rPr>
          <w:sz w:val="20"/>
        </w:rPr>
      </w:pPr>
    </w:p>
    <w:p w14:paraId="04453CD4" w14:textId="77777777" w:rsidR="00FB1B76" w:rsidRPr="00AF37E1" w:rsidRDefault="00FB1B76" w:rsidP="00FB1B76">
      <w:pPr>
        <w:rPr>
          <w:sz w:val="20"/>
        </w:rPr>
      </w:pPr>
    </w:p>
    <w:tbl>
      <w:tblPr>
        <w:tblStyle w:val="TableGrid"/>
        <w:tblpPr w:leftFromText="180" w:rightFromText="180" w:vertAnchor="text" w:tblpY="-134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FB1B76" w:rsidRPr="00AF37E1" w14:paraId="7CF059CD" w14:textId="77777777" w:rsidTr="00FB1B76">
        <w:tc>
          <w:tcPr>
            <w:tcW w:w="7196" w:type="dxa"/>
            <w:vAlign w:val="center"/>
          </w:tcPr>
          <w:p w14:paraId="6F3B447D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Training Indicator Rating</w:t>
            </w:r>
          </w:p>
        </w:tc>
        <w:tc>
          <w:tcPr>
            <w:tcW w:w="2046" w:type="dxa"/>
            <w:vAlign w:val="center"/>
          </w:tcPr>
          <w:p w14:paraId="4FBF6772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111%</w:t>
            </w:r>
          </w:p>
        </w:tc>
      </w:tr>
      <w:tr w:rsidR="00FB1B76" w:rsidRPr="00AF37E1" w14:paraId="692AE5A7" w14:textId="77777777" w:rsidTr="00FB1B76">
        <w:tc>
          <w:tcPr>
            <w:tcW w:w="7196" w:type="dxa"/>
            <w:vAlign w:val="center"/>
          </w:tcPr>
          <w:p w14:paraId="2BB20210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Average Performance on Top 10</w:t>
            </w:r>
          </w:p>
        </w:tc>
        <w:tc>
          <w:tcPr>
            <w:tcW w:w="2046" w:type="dxa"/>
            <w:vAlign w:val="center"/>
          </w:tcPr>
          <w:p w14:paraId="6705EB90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112%</w:t>
            </w:r>
          </w:p>
        </w:tc>
      </w:tr>
      <w:tr w:rsidR="00FB1B76" w:rsidRPr="00AF37E1" w14:paraId="75E927AA" w14:textId="77777777" w:rsidTr="00FB1B76">
        <w:tc>
          <w:tcPr>
            <w:tcW w:w="7196" w:type="dxa"/>
            <w:vAlign w:val="center"/>
          </w:tcPr>
          <w:p w14:paraId="2DB9188D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Top 10 Indicator Rating</w:t>
            </w:r>
          </w:p>
        </w:tc>
        <w:tc>
          <w:tcPr>
            <w:tcW w:w="2046" w:type="dxa"/>
            <w:shd w:val="clear" w:color="auto" w:fill="00B050"/>
            <w:vAlign w:val="center"/>
          </w:tcPr>
          <w:p w14:paraId="30EFADBE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A1</w:t>
            </w:r>
          </w:p>
        </w:tc>
      </w:tr>
      <w:tr w:rsidR="00FB1B76" w:rsidRPr="00AF37E1" w14:paraId="18753390" w14:textId="77777777" w:rsidTr="00FB1B76">
        <w:tc>
          <w:tcPr>
            <w:tcW w:w="7196" w:type="dxa"/>
            <w:vAlign w:val="center"/>
          </w:tcPr>
          <w:p w14:paraId="0CA39634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Average Performance All Indicators</w:t>
            </w:r>
          </w:p>
        </w:tc>
        <w:tc>
          <w:tcPr>
            <w:tcW w:w="2046" w:type="dxa"/>
            <w:vAlign w:val="center"/>
          </w:tcPr>
          <w:p w14:paraId="7AC5FC83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112%</w:t>
            </w:r>
          </w:p>
        </w:tc>
      </w:tr>
      <w:tr w:rsidR="00FB1B76" w:rsidRPr="00AF37E1" w14:paraId="1C82D82E" w14:textId="77777777" w:rsidTr="00FB1B76">
        <w:tc>
          <w:tcPr>
            <w:tcW w:w="7196" w:type="dxa"/>
            <w:vAlign w:val="center"/>
          </w:tcPr>
          <w:p w14:paraId="6347EC75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All indicators Rating</w:t>
            </w:r>
          </w:p>
        </w:tc>
        <w:tc>
          <w:tcPr>
            <w:tcW w:w="2046" w:type="dxa"/>
            <w:shd w:val="clear" w:color="auto" w:fill="00B050"/>
            <w:vAlign w:val="center"/>
          </w:tcPr>
          <w:p w14:paraId="594739D7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A1</w:t>
            </w:r>
          </w:p>
        </w:tc>
      </w:tr>
      <w:tr w:rsidR="00FB1B76" w:rsidRPr="00AF37E1" w14:paraId="582E3CF6" w14:textId="77777777" w:rsidTr="00FB1B76">
        <w:tc>
          <w:tcPr>
            <w:tcW w:w="7196" w:type="dxa"/>
            <w:vAlign w:val="center"/>
          </w:tcPr>
          <w:p w14:paraId="62AC25D7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Number of TOP TEN Indicators with B2 or C Rating</w:t>
            </w:r>
          </w:p>
        </w:tc>
        <w:tc>
          <w:tcPr>
            <w:tcW w:w="2046" w:type="dxa"/>
            <w:vAlign w:val="center"/>
          </w:tcPr>
          <w:p w14:paraId="01348DBD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0</w:t>
            </w:r>
          </w:p>
        </w:tc>
      </w:tr>
      <w:tr w:rsidR="00FB1B76" w:rsidRPr="00AF37E1" w14:paraId="0053859F" w14:textId="77777777" w:rsidTr="00FB1B76">
        <w:tc>
          <w:tcPr>
            <w:tcW w:w="7196" w:type="dxa"/>
            <w:vAlign w:val="center"/>
          </w:tcPr>
          <w:p w14:paraId="00E59724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rFonts w:cs="Arial"/>
                <w:sz w:val="20"/>
                <w:lang w:eastAsia="en-GB"/>
              </w:rPr>
              <w:t>Renewals Indicator Rating</w:t>
            </w:r>
          </w:p>
        </w:tc>
        <w:tc>
          <w:tcPr>
            <w:tcW w:w="2046" w:type="dxa"/>
            <w:shd w:val="clear" w:color="auto" w:fill="00B050"/>
            <w:vAlign w:val="center"/>
          </w:tcPr>
          <w:p w14:paraId="02E402FE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A1</w:t>
            </w:r>
          </w:p>
        </w:tc>
      </w:tr>
    </w:tbl>
    <w:p w14:paraId="0A139C4D" w14:textId="77777777" w:rsidR="00FB1B76" w:rsidRPr="00AF37E1" w:rsidRDefault="00FB1B76" w:rsidP="00FB1B76">
      <w:pPr>
        <w:jc w:val="center"/>
        <w:rPr>
          <w:rFonts w:cs="Arial"/>
          <w:b/>
          <w:sz w:val="20"/>
        </w:rPr>
      </w:pPr>
      <w:r w:rsidRPr="00AF37E1">
        <w:rPr>
          <w:rFonts w:cs="Arial"/>
          <w:b/>
          <w:sz w:val="20"/>
        </w:rPr>
        <w:t>Cumulative performance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B1B76" w:rsidRPr="00AF37E1" w14:paraId="235DF130" w14:textId="77777777" w:rsidTr="00FB1B76">
        <w:tc>
          <w:tcPr>
            <w:tcW w:w="3080" w:type="dxa"/>
            <w:vAlign w:val="center"/>
          </w:tcPr>
          <w:p w14:paraId="2D5FEEEB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2011</w:t>
            </w:r>
          </w:p>
        </w:tc>
        <w:tc>
          <w:tcPr>
            <w:tcW w:w="6162" w:type="dxa"/>
            <w:gridSpan w:val="2"/>
            <w:vAlign w:val="center"/>
          </w:tcPr>
          <w:p w14:paraId="545D8902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2012</w:t>
            </w:r>
          </w:p>
        </w:tc>
      </w:tr>
      <w:tr w:rsidR="00FB1B76" w:rsidRPr="00AF37E1" w14:paraId="0D880FC1" w14:textId="77777777" w:rsidTr="00FB1B76">
        <w:tc>
          <w:tcPr>
            <w:tcW w:w="3080" w:type="dxa"/>
            <w:vAlign w:val="center"/>
          </w:tcPr>
          <w:p w14:paraId="65FA81A5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1 July – 31 December</w:t>
            </w:r>
          </w:p>
        </w:tc>
        <w:tc>
          <w:tcPr>
            <w:tcW w:w="3081" w:type="dxa"/>
            <w:vAlign w:val="center"/>
          </w:tcPr>
          <w:p w14:paraId="564C9485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1 January – 30 June</w:t>
            </w:r>
          </w:p>
        </w:tc>
        <w:tc>
          <w:tcPr>
            <w:tcW w:w="3081" w:type="dxa"/>
            <w:vAlign w:val="center"/>
          </w:tcPr>
          <w:p w14:paraId="52EA9CA4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1 July – 31 December</w:t>
            </w:r>
          </w:p>
        </w:tc>
      </w:tr>
      <w:tr w:rsidR="00FB1B76" w:rsidRPr="00AF37E1" w14:paraId="027E9588" w14:textId="77777777" w:rsidTr="00FB1B76">
        <w:tc>
          <w:tcPr>
            <w:tcW w:w="3080" w:type="dxa"/>
            <w:shd w:val="clear" w:color="auto" w:fill="92D050"/>
            <w:vAlign w:val="center"/>
          </w:tcPr>
          <w:p w14:paraId="37D1203A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A2</w:t>
            </w:r>
          </w:p>
        </w:tc>
        <w:tc>
          <w:tcPr>
            <w:tcW w:w="3081" w:type="dxa"/>
            <w:shd w:val="clear" w:color="auto" w:fill="00B050"/>
            <w:vAlign w:val="center"/>
          </w:tcPr>
          <w:p w14:paraId="6CCE24FD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A1</w:t>
            </w:r>
          </w:p>
        </w:tc>
        <w:tc>
          <w:tcPr>
            <w:tcW w:w="3081" w:type="dxa"/>
            <w:shd w:val="clear" w:color="auto" w:fill="00B050"/>
            <w:vAlign w:val="center"/>
          </w:tcPr>
          <w:p w14:paraId="3B6DE889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A1</w:t>
            </w:r>
          </w:p>
        </w:tc>
      </w:tr>
    </w:tbl>
    <w:p w14:paraId="4D3B3A01" w14:textId="77777777" w:rsidR="00FB1B76" w:rsidRPr="00AF37E1" w:rsidRDefault="00FB1B76" w:rsidP="00FB1B76">
      <w:pPr>
        <w:rPr>
          <w:sz w:val="20"/>
        </w:rPr>
      </w:pPr>
    </w:p>
    <w:p w14:paraId="742D09A9" w14:textId="77777777" w:rsidR="00FB1B76" w:rsidRPr="00AF37E1" w:rsidRDefault="00FB1B76" w:rsidP="00FB1B76">
      <w:pPr>
        <w:jc w:val="center"/>
        <w:rPr>
          <w:b/>
          <w:sz w:val="20"/>
        </w:rPr>
      </w:pPr>
      <w:r w:rsidRPr="00AF37E1">
        <w:rPr>
          <w:b/>
          <w:sz w:val="20"/>
        </w:rPr>
        <w:t>Main Achievements:</w:t>
      </w:r>
    </w:p>
    <w:p w14:paraId="7ED88C4E" w14:textId="77777777" w:rsidR="00FB1B76" w:rsidRPr="00AF37E1" w:rsidRDefault="00FB1B76" w:rsidP="00FB1B76">
      <w:pPr>
        <w:jc w:val="center"/>
        <w:rPr>
          <w:b/>
          <w:sz w:val="20"/>
        </w:rPr>
      </w:pPr>
    </w:p>
    <w:p w14:paraId="548B8C8A" w14:textId="77777777" w:rsidR="00FB1B76" w:rsidRPr="00AF37E1" w:rsidRDefault="00FB1B76" w:rsidP="00FB1B76">
      <w:pPr>
        <w:pStyle w:val="ListParagraph"/>
        <w:numPr>
          <w:ilvl w:val="0"/>
          <w:numId w:val="19"/>
        </w:numPr>
        <w:spacing w:after="0"/>
        <w:rPr>
          <w:sz w:val="20"/>
        </w:rPr>
      </w:pPr>
      <w:r w:rsidRPr="00AF37E1">
        <w:rPr>
          <w:sz w:val="20"/>
        </w:rPr>
        <w:t>Coverage with MDR TB treatment is relatively good, in 2010-2011 nationally about 60-70% of diagnosed MDR TB cases were enrolled on second-line treatment. The Global Fund provided with the second-line treatment big portion of MDR TB cases.</w:t>
      </w:r>
    </w:p>
    <w:p w14:paraId="089B5BE2" w14:textId="77777777" w:rsidR="00FB1B76" w:rsidRPr="00AF37E1" w:rsidRDefault="00FB1B76" w:rsidP="00FB1B76">
      <w:pPr>
        <w:pStyle w:val="ListParagraph"/>
        <w:numPr>
          <w:ilvl w:val="0"/>
          <w:numId w:val="19"/>
        </w:numPr>
        <w:spacing w:after="0"/>
        <w:rPr>
          <w:sz w:val="20"/>
        </w:rPr>
      </w:pPr>
      <w:r w:rsidRPr="00AF37E1">
        <w:rPr>
          <w:sz w:val="20"/>
        </w:rPr>
        <w:t xml:space="preserve">The program maintains high treatment success rate for MDR TB cases over the past several years (2008 cohort </w:t>
      </w:r>
      <w:r>
        <w:rPr>
          <w:sz w:val="20"/>
        </w:rPr>
        <w:t>-74%, 2009 cohort 73%.</w:t>
      </w:r>
    </w:p>
    <w:p w14:paraId="4B20A719" w14:textId="77777777" w:rsidR="00FB1B76" w:rsidRPr="00AF37E1" w:rsidRDefault="00FB1B76" w:rsidP="00FB1B76">
      <w:pPr>
        <w:rPr>
          <w:rFonts w:cs="Arial"/>
          <w:b/>
          <w:sz w:val="20"/>
        </w:rPr>
      </w:pPr>
    </w:p>
    <w:p w14:paraId="77B990A8" w14:textId="77777777" w:rsidR="00E5067C" w:rsidRDefault="00E5067C" w:rsidP="00FB1B76">
      <w:pPr>
        <w:rPr>
          <w:rFonts w:cs="Arial"/>
          <w:b/>
          <w:sz w:val="20"/>
        </w:rPr>
      </w:pPr>
    </w:p>
    <w:p w14:paraId="3EB73430" w14:textId="6F7AC4F4" w:rsidR="00FB1B76" w:rsidRPr="00AF37E1" w:rsidRDefault="00FB1B76" w:rsidP="00FB1B76">
      <w:pPr>
        <w:rPr>
          <w:rFonts w:cs="Arial"/>
          <w:b/>
          <w:sz w:val="20"/>
        </w:rPr>
      </w:pPr>
      <w:r w:rsidRPr="00AF37E1">
        <w:rPr>
          <w:rFonts w:cs="Arial"/>
          <w:b/>
          <w:sz w:val="20"/>
        </w:rPr>
        <w:t>3. Financial Performance</w:t>
      </w:r>
      <w:r w:rsidR="0083362C">
        <w:rPr>
          <w:rFonts w:cs="Arial"/>
          <w:b/>
          <w:sz w:val="20"/>
        </w:rPr>
        <w:t xml:space="preserve"> KAZ-809-G04-T</w:t>
      </w:r>
    </w:p>
    <w:p w14:paraId="1559E191" w14:textId="77777777" w:rsidR="00FB1B76" w:rsidRPr="00AF37E1" w:rsidRDefault="00FB1B76" w:rsidP="00FB1B76">
      <w:pPr>
        <w:rPr>
          <w:sz w:val="20"/>
        </w:rPr>
      </w:pPr>
    </w:p>
    <w:p w14:paraId="342F4022" w14:textId="2A61A4FA" w:rsidR="00FB1B76" w:rsidRPr="00AF37E1" w:rsidRDefault="00FB1B76" w:rsidP="00FB1B76">
      <w:pPr>
        <w:rPr>
          <w:sz w:val="20"/>
        </w:rPr>
      </w:pPr>
      <w:r w:rsidRPr="00AF37E1">
        <w:rPr>
          <w:sz w:val="20"/>
        </w:rPr>
        <w:t xml:space="preserve">The indicative amount proposed within the New Funding Model is USD 34 million. </w:t>
      </w:r>
    </w:p>
    <w:p w14:paraId="13BC24A2" w14:textId="77777777" w:rsidR="00FB1B76" w:rsidRPr="00AF37E1" w:rsidRDefault="00FB1B76" w:rsidP="00FB1B76">
      <w:pPr>
        <w:rPr>
          <w:sz w:val="20"/>
        </w:rPr>
      </w:pPr>
    </w:p>
    <w:p w14:paraId="33D60AE2" w14:textId="77777777" w:rsidR="00FB1B76" w:rsidRPr="00AF37E1" w:rsidRDefault="00FB1B76" w:rsidP="00FB1B76">
      <w:pPr>
        <w:jc w:val="center"/>
        <w:rPr>
          <w:b/>
          <w:sz w:val="20"/>
        </w:rPr>
      </w:pPr>
      <w:r w:rsidRPr="00AF37E1">
        <w:rPr>
          <w:b/>
          <w:sz w:val="20"/>
        </w:rPr>
        <w:t>Disbursement for the current grant</w:t>
      </w:r>
    </w:p>
    <w:p w14:paraId="356C4423" w14:textId="77777777" w:rsidR="00FB1B76" w:rsidRPr="00AF37E1" w:rsidRDefault="00FB1B76" w:rsidP="00FB1B7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1B76" w:rsidRPr="00AF37E1" w14:paraId="35731A4E" w14:textId="77777777" w:rsidTr="00FB1B76">
        <w:tc>
          <w:tcPr>
            <w:tcW w:w="4621" w:type="dxa"/>
          </w:tcPr>
          <w:p w14:paraId="157EC9DC" w14:textId="77777777" w:rsidR="00FB1B76" w:rsidRPr="00AF37E1" w:rsidRDefault="00FB1B76" w:rsidP="00FB1B76">
            <w:pPr>
              <w:rPr>
                <w:sz w:val="20"/>
              </w:rPr>
            </w:pPr>
            <w:r w:rsidRPr="00AF37E1">
              <w:rPr>
                <w:sz w:val="20"/>
              </w:rPr>
              <w:t>Budget for the current implementation</w:t>
            </w:r>
          </w:p>
        </w:tc>
        <w:tc>
          <w:tcPr>
            <w:tcW w:w="4621" w:type="dxa"/>
          </w:tcPr>
          <w:p w14:paraId="3C12B9EA" w14:textId="77777777" w:rsidR="00FB1B76" w:rsidRPr="00AF37E1" w:rsidRDefault="00FB1B76" w:rsidP="00FB1B76">
            <w:pPr>
              <w:rPr>
                <w:sz w:val="20"/>
              </w:rPr>
            </w:pPr>
            <w:r w:rsidRPr="00AF37E1">
              <w:rPr>
                <w:sz w:val="20"/>
              </w:rPr>
              <w:t>USD 50’068’827</w:t>
            </w:r>
          </w:p>
        </w:tc>
      </w:tr>
      <w:tr w:rsidR="00FB1B76" w:rsidRPr="00AF37E1" w14:paraId="4A1A33D5" w14:textId="77777777" w:rsidTr="00FB1B76">
        <w:tc>
          <w:tcPr>
            <w:tcW w:w="4621" w:type="dxa"/>
          </w:tcPr>
          <w:p w14:paraId="1BC4E314" w14:textId="77777777" w:rsidR="00FB1B76" w:rsidRPr="00AF37E1" w:rsidRDefault="00FB1B76" w:rsidP="00FB1B76">
            <w:pPr>
              <w:rPr>
                <w:sz w:val="20"/>
              </w:rPr>
            </w:pPr>
            <w:r w:rsidRPr="00AF37E1">
              <w:rPr>
                <w:sz w:val="20"/>
              </w:rPr>
              <w:t>Less: disbursed</w:t>
            </w:r>
          </w:p>
        </w:tc>
        <w:tc>
          <w:tcPr>
            <w:tcW w:w="4621" w:type="dxa"/>
          </w:tcPr>
          <w:p w14:paraId="6B482757" w14:textId="77777777" w:rsidR="00FB1B76" w:rsidRPr="00AF37E1" w:rsidRDefault="00FB1B76" w:rsidP="00FB1B76">
            <w:pPr>
              <w:rPr>
                <w:sz w:val="20"/>
              </w:rPr>
            </w:pPr>
            <w:r w:rsidRPr="00AF37E1">
              <w:rPr>
                <w:sz w:val="20"/>
              </w:rPr>
              <w:t>USD 45’241’253</w:t>
            </w:r>
          </w:p>
        </w:tc>
      </w:tr>
      <w:tr w:rsidR="00FB1B76" w:rsidRPr="00AF37E1" w14:paraId="51AEE902" w14:textId="77777777" w:rsidTr="00FB1B76">
        <w:tc>
          <w:tcPr>
            <w:tcW w:w="4621" w:type="dxa"/>
          </w:tcPr>
          <w:p w14:paraId="6A435C8D" w14:textId="77777777" w:rsidR="00FB1B76" w:rsidRPr="00AF37E1" w:rsidRDefault="00FB1B76" w:rsidP="00FB1B76">
            <w:pPr>
              <w:rPr>
                <w:sz w:val="20"/>
              </w:rPr>
            </w:pPr>
            <w:r w:rsidRPr="00AF37E1">
              <w:rPr>
                <w:sz w:val="20"/>
              </w:rPr>
              <w:t>Undisbursed amount</w:t>
            </w:r>
          </w:p>
        </w:tc>
        <w:tc>
          <w:tcPr>
            <w:tcW w:w="4621" w:type="dxa"/>
          </w:tcPr>
          <w:p w14:paraId="354275D3" w14:textId="77777777" w:rsidR="00FB1B76" w:rsidRPr="00AF37E1" w:rsidRDefault="00FB1B76" w:rsidP="00FB1B76">
            <w:pPr>
              <w:rPr>
                <w:sz w:val="20"/>
              </w:rPr>
            </w:pPr>
            <w:r w:rsidRPr="00AF37E1">
              <w:rPr>
                <w:sz w:val="20"/>
              </w:rPr>
              <w:t>USD 4’827’564</w:t>
            </w:r>
          </w:p>
        </w:tc>
      </w:tr>
    </w:tbl>
    <w:p w14:paraId="3E2DC4E6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B1B76" w:rsidRPr="00AF37E1" w14:paraId="1140A393" w14:textId="77777777" w:rsidTr="00FB1B76">
        <w:tc>
          <w:tcPr>
            <w:tcW w:w="2310" w:type="dxa"/>
            <w:vAlign w:val="center"/>
          </w:tcPr>
          <w:p w14:paraId="7CE776DB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Cumulative Budget</w:t>
            </w:r>
          </w:p>
        </w:tc>
        <w:tc>
          <w:tcPr>
            <w:tcW w:w="2310" w:type="dxa"/>
            <w:vAlign w:val="center"/>
          </w:tcPr>
          <w:p w14:paraId="56C79E74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Cumulative Expenditures</w:t>
            </w:r>
          </w:p>
        </w:tc>
        <w:tc>
          <w:tcPr>
            <w:tcW w:w="2311" w:type="dxa"/>
            <w:vAlign w:val="center"/>
          </w:tcPr>
          <w:p w14:paraId="43169B63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% Expenditures vs. Budget</w:t>
            </w:r>
          </w:p>
        </w:tc>
        <w:tc>
          <w:tcPr>
            <w:tcW w:w="2311" w:type="dxa"/>
            <w:vAlign w:val="center"/>
          </w:tcPr>
          <w:p w14:paraId="5553F73C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% programmatic achievements</w:t>
            </w:r>
          </w:p>
        </w:tc>
      </w:tr>
      <w:tr w:rsidR="00FB1B76" w:rsidRPr="00AF37E1" w14:paraId="282DC487" w14:textId="77777777" w:rsidTr="00FB1B76">
        <w:tc>
          <w:tcPr>
            <w:tcW w:w="2310" w:type="dxa"/>
            <w:vAlign w:val="center"/>
          </w:tcPr>
          <w:p w14:paraId="77CFEBA8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rFonts w:eastAsia="Arial"/>
                <w:color w:val="000000"/>
                <w:sz w:val="20"/>
              </w:rPr>
              <w:t>$ 40,755,079</w:t>
            </w:r>
          </w:p>
        </w:tc>
        <w:tc>
          <w:tcPr>
            <w:tcW w:w="2310" w:type="dxa"/>
            <w:vAlign w:val="center"/>
          </w:tcPr>
          <w:p w14:paraId="7E908124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rFonts w:eastAsia="Arial"/>
                <w:color w:val="000000"/>
                <w:sz w:val="20"/>
              </w:rPr>
              <w:t>$ 42,444,331</w:t>
            </w:r>
          </w:p>
        </w:tc>
        <w:tc>
          <w:tcPr>
            <w:tcW w:w="2311" w:type="dxa"/>
            <w:vAlign w:val="center"/>
          </w:tcPr>
          <w:p w14:paraId="08B73EB0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104.1%</w:t>
            </w:r>
          </w:p>
        </w:tc>
        <w:tc>
          <w:tcPr>
            <w:tcW w:w="2311" w:type="dxa"/>
            <w:vAlign w:val="center"/>
          </w:tcPr>
          <w:p w14:paraId="78EC9C1C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A1</w:t>
            </w:r>
          </w:p>
        </w:tc>
      </w:tr>
    </w:tbl>
    <w:p w14:paraId="7ED92729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6BC051F8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4C157D85" w14:textId="22183EFA" w:rsidR="00FB1B76" w:rsidRPr="00AF37E1" w:rsidRDefault="00FB1B76" w:rsidP="00FB1B76">
      <w:pPr>
        <w:rPr>
          <w:noProof/>
          <w:sz w:val="20"/>
          <w:lang w:eastAsia="en-GB"/>
        </w:rPr>
      </w:pPr>
    </w:p>
    <w:p w14:paraId="6F7D3CD7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32940908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387F5104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0753C5EC" w14:textId="1734D46A" w:rsidR="00FB1B76" w:rsidRPr="00AF37E1" w:rsidRDefault="006D0C79" w:rsidP="00FB1B76">
      <w:pPr>
        <w:rPr>
          <w:noProof/>
          <w:sz w:val="20"/>
          <w:lang w:eastAsia="en-GB"/>
        </w:rPr>
      </w:pPr>
      <w:r w:rsidRPr="00AF37E1"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AC70026" wp14:editId="60C5A6F2">
            <wp:simplePos x="0" y="0"/>
            <wp:positionH relativeFrom="column">
              <wp:posOffset>-228600</wp:posOffset>
            </wp:positionH>
            <wp:positionV relativeFrom="paragraph">
              <wp:posOffset>67945</wp:posOffset>
            </wp:positionV>
            <wp:extent cx="5867400" cy="2933700"/>
            <wp:effectExtent l="19050" t="19050" r="19050" b="19050"/>
            <wp:wrapNone/>
            <wp:docPr id="4" name="Picture 4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b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33700"/>
                    </a:xfrm>
                    <a:prstGeom prst="rect">
                      <a:avLst/>
                    </a:prstGeom>
                    <a:noFill/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9C71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316A6D40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5AEDEDB1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74C4770A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3017AF5F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17AFA934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48FAF3A0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5E6122C1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4F7F39F4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5EDF186F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2FB94F83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732C31B9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017C7DF2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1FF86A6F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1817DCAD" w14:textId="3D0E0AFF" w:rsidR="00FB1B76" w:rsidRPr="00AF37E1" w:rsidRDefault="00FB1B76" w:rsidP="00FB1B76">
      <w:pPr>
        <w:rPr>
          <w:b/>
          <w:noProof/>
          <w:sz w:val="20"/>
          <w:lang w:eastAsia="en-GB"/>
        </w:rPr>
      </w:pPr>
      <w:r w:rsidRPr="00AF37E1">
        <w:rPr>
          <w:b/>
          <w:noProof/>
          <w:sz w:val="20"/>
          <w:lang w:eastAsia="en-GB"/>
        </w:rPr>
        <w:t>4. Main risks</w:t>
      </w:r>
      <w:r w:rsidR="0083362C">
        <w:rPr>
          <w:b/>
          <w:noProof/>
          <w:sz w:val="20"/>
          <w:lang w:eastAsia="en-GB"/>
        </w:rPr>
        <w:t xml:space="preserve"> </w:t>
      </w:r>
      <w:r w:rsidR="0083362C">
        <w:rPr>
          <w:rFonts w:cs="Arial"/>
          <w:b/>
          <w:sz w:val="20"/>
        </w:rPr>
        <w:t>KAZ-809-G04-T</w:t>
      </w:r>
    </w:p>
    <w:p w14:paraId="6679883D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5F6C74DF" w14:textId="3E26F609" w:rsidR="00FB1B76" w:rsidRPr="00AF37E1" w:rsidRDefault="0016368E" w:rsidP="00FB1B76">
      <w:pPr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R</w:t>
      </w:r>
      <w:r w:rsidR="00FB1B76" w:rsidRPr="00AF37E1">
        <w:rPr>
          <w:noProof/>
          <w:sz w:val="20"/>
          <w:lang w:eastAsia="en-GB"/>
        </w:rPr>
        <w:t>efer</w:t>
      </w:r>
      <w:r w:rsidR="00E5067C">
        <w:rPr>
          <w:noProof/>
          <w:sz w:val="20"/>
          <w:lang w:eastAsia="en-GB"/>
        </w:rPr>
        <w:t xml:space="preserve"> to the two following files</w:t>
      </w:r>
      <w:r w:rsidR="00FB1B76">
        <w:rPr>
          <w:noProof/>
          <w:sz w:val="20"/>
          <w:lang w:eastAsia="en-GB"/>
        </w:rPr>
        <w:t xml:space="preserve"> atta</w:t>
      </w:r>
      <w:r w:rsidR="00FB1B76" w:rsidRPr="00AF37E1">
        <w:rPr>
          <w:noProof/>
          <w:sz w:val="20"/>
          <w:lang w:eastAsia="en-GB"/>
        </w:rPr>
        <w:t>ched:</w:t>
      </w:r>
    </w:p>
    <w:p w14:paraId="64D92E1B" w14:textId="09510629" w:rsidR="00FB1B76" w:rsidRPr="00AF37E1" w:rsidRDefault="00FB1B76" w:rsidP="00FB1B76">
      <w:pPr>
        <w:rPr>
          <w:noProof/>
          <w:sz w:val="20"/>
          <w:lang w:eastAsia="en-GB"/>
        </w:rPr>
      </w:pPr>
      <w:r w:rsidRPr="00AF37E1">
        <w:rPr>
          <w:noProof/>
          <w:sz w:val="20"/>
          <w:lang w:eastAsia="en-GB"/>
        </w:rPr>
        <w:t>1.</w:t>
      </w:r>
      <w:r w:rsidR="00F109F7">
        <w:rPr>
          <w:noProof/>
          <w:sz w:val="20"/>
          <w:lang w:eastAsia="en-GB"/>
        </w:rPr>
        <w:t xml:space="preserve"> Last management letter issued on 29.04.2013    </w:t>
      </w:r>
      <w:r w:rsidRPr="00AF37E1">
        <w:rPr>
          <w:noProof/>
          <w:sz w:val="20"/>
          <w:lang w:eastAsia="en-GB"/>
        </w:rPr>
        <w:t>2. OIG Audit report issued on 21.12.2012</w:t>
      </w:r>
    </w:p>
    <w:p w14:paraId="7ACA9ECB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B1B76" w:rsidRPr="00AF37E1" w14:paraId="22131E5C" w14:textId="77777777" w:rsidTr="00FB1B76">
        <w:tc>
          <w:tcPr>
            <w:tcW w:w="2093" w:type="dxa"/>
            <w:shd w:val="clear" w:color="auto" w:fill="00B050"/>
            <w:vAlign w:val="center"/>
          </w:tcPr>
          <w:p w14:paraId="4A3ABB8B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Program Management</w:t>
            </w:r>
          </w:p>
        </w:tc>
        <w:tc>
          <w:tcPr>
            <w:tcW w:w="7149" w:type="dxa"/>
            <w:vAlign w:val="center"/>
          </w:tcPr>
          <w:p w14:paraId="4A39AF9E" w14:textId="62A33629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Satisfactory</w:t>
            </w:r>
          </w:p>
        </w:tc>
      </w:tr>
      <w:tr w:rsidR="00FB1B76" w:rsidRPr="00AF37E1" w14:paraId="2C298ACB" w14:textId="77777777" w:rsidTr="00FB1B76">
        <w:trPr>
          <w:trHeight w:val="937"/>
        </w:trPr>
        <w:tc>
          <w:tcPr>
            <w:tcW w:w="2093" w:type="dxa"/>
            <w:shd w:val="clear" w:color="auto" w:fill="FFFF00"/>
            <w:vAlign w:val="center"/>
          </w:tcPr>
          <w:p w14:paraId="528080B8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Monitoring and Evaluation</w:t>
            </w:r>
          </w:p>
        </w:tc>
        <w:tc>
          <w:tcPr>
            <w:tcW w:w="7149" w:type="dxa"/>
            <w:vAlign w:val="center"/>
          </w:tcPr>
          <w:p w14:paraId="26D6EFC2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 xml:space="preserve">No systematic appraisal of the quality of TB surveillance data. </w:t>
            </w:r>
          </w:p>
          <w:p w14:paraId="1EB8A1F2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Unc</w:t>
            </w:r>
            <w:r>
              <w:rPr>
                <w:noProof/>
                <w:sz w:val="20"/>
                <w:lang w:eastAsia="en-GB"/>
              </w:rPr>
              <w:t>ertaint</w:t>
            </w:r>
            <w:r w:rsidRPr="00AF37E1">
              <w:rPr>
                <w:noProof/>
                <w:sz w:val="20"/>
                <w:lang w:eastAsia="en-GB"/>
              </w:rPr>
              <w:t>ies about the representativeness of cases included in MDR-TB treatment cohort.</w:t>
            </w:r>
          </w:p>
        </w:tc>
      </w:tr>
      <w:tr w:rsidR="00FB1B76" w:rsidRPr="00AF37E1" w14:paraId="13A11432" w14:textId="77777777" w:rsidTr="00FB1B76">
        <w:tc>
          <w:tcPr>
            <w:tcW w:w="2093" w:type="dxa"/>
            <w:shd w:val="clear" w:color="auto" w:fill="FF0000"/>
            <w:vAlign w:val="center"/>
          </w:tcPr>
          <w:p w14:paraId="50BE6B55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Financial Management</w:t>
            </w:r>
          </w:p>
        </w:tc>
        <w:tc>
          <w:tcPr>
            <w:tcW w:w="7149" w:type="dxa"/>
            <w:vAlign w:val="center"/>
          </w:tcPr>
          <w:p w14:paraId="342870B3" w14:textId="77777777" w:rsidR="00FB1B76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Poor quality of audit reports</w:t>
            </w:r>
          </w:p>
          <w:p w14:paraId="0E784E2F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Procurement</w:t>
            </w:r>
          </w:p>
          <w:p w14:paraId="385C1BAB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No inventory of assets</w:t>
            </w:r>
          </w:p>
          <w:p w14:paraId="409E4A9C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Accounting software not used to its full capacity</w:t>
            </w:r>
          </w:p>
        </w:tc>
      </w:tr>
      <w:tr w:rsidR="00FB1B76" w:rsidRPr="00AF37E1" w14:paraId="5EA7F6B0" w14:textId="77777777" w:rsidTr="00FB1B76">
        <w:tc>
          <w:tcPr>
            <w:tcW w:w="2093" w:type="dxa"/>
            <w:shd w:val="clear" w:color="auto" w:fill="FF0000"/>
            <w:vAlign w:val="center"/>
          </w:tcPr>
          <w:p w14:paraId="25908D9E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Pharmaceutical and Health Product Management</w:t>
            </w:r>
          </w:p>
        </w:tc>
        <w:tc>
          <w:tcPr>
            <w:tcW w:w="7149" w:type="dxa"/>
            <w:vAlign w:val="center"/>
          </w:tcPr>
          <w:p w14:paraId="3595BCDE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Lack of transparency and compettiveness in procurement</w:t>
            </w:r>
          </w:p>
          <w:p w14:paraId="4C7B5BA7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Value for Money at risk</w:t>
            </w:r>
          </w:p>
          <w:p w14:paraId="3377E8B1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 xml:space="preserve">Lack of compliance with Kazak </w:t>
            </w:r>
            <w:r>
              <w:rPr>
                <w:noProof/>
                <w:sz w:val="20"/>
                <w:lang w:eastAsia="en-GB"/>
              </w:rPr>
              <w:t xml:space="preserve">procurement </w:t>
            </w:r>
            <w:r w:rsidRPr="00AF37E1">
              <w:rPr>
                <w:noProof/>
                <w:sz w:val="20"/>
                <w:lang w:eastAsia="en-GB"/>
              </w:rPr>
              <w:t>law, Grant agreement and Global Fund requirements</w:t>
            </w:r>
            <w:r>
              <w:rPr>
                <w:noProof/>
                <w:sz w:val="20"/>
                <w:lang w:eastAsia="en-GB"/>
              </w:rPr>
              <w:t xml:space="preserve"> and procurement guidelines</w:t>
            </w:r>
          </w:p>
          <w:p w14:paraId="1A268BAB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 xml:space="preserve">Lack of </w:t>
            </w:r>
            <w:r>
              <w:rPr>
                <w:noProof/>
                <w:sz w:val="20"/>
                <w:lang w:eastAsia="en-GB"/>
              </w:rPr>
              <w:t xml:space="preserve">supplier performance </w:t>
            </w:r>
            <w:r w:rsidRPr="00AF37E1">
              <w:rPr>
                <w:noProof/>
                <w:sz w:val="20"/>
                <w:lang w:eastAsia="en-GB"/>
              </w:rPr>
              <w:t xml:space="preserve">management </w:t>
            </w:r>
          </w:p>
          <w:p w14:paraId="53C8EFE5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Lack of management information system</w:t>
            </w:r>
            <w:r>
              <w:rPr>
                <w:noProof/>
                <w:sz w:val="20"/>
                <w:lang w:eastAsia="en-GB"/>
              </w:rPr>
              <w:t>s, esp. for health products</w:t>
            </w:r>
          </w:p>
        </w:tc>
      </w:tr>
      <w:tr w:rsidR="00FB1B76" w:rsidRPr="00AF37E1" w14:paraId="7A2058EF" w14:textId="77777777" w:rsidTr="00FB1B76">
        <w:tc>
          <w:tcPr>
            <w:tcW w:w="2093" w:type="dxa"/>
            <w:shd w:val="clear" w:color="auto" w:fill="FFFF00"/>
            <w:vAlign w:val="center"/>
          </w:tcPr>
          <w:p w14:paraId="6CAF9740" w14:textId="77777777" w:rsidR="00FB1B76" w:rsidRPr="00AF37E1" w:rsidRDefault="00FB1B76" w:rsidP="00FB1B76">
            <w:pPr>
              <w:jc w:val="center"/>
              <w:rPr>
                <w:sz w:val="20"/>
              </w:rPr>
            </w:pPr>
            <w:r w:rsidRPr="00AF37E1">
              <w:rPr>
                <w:sz w:val="20"/>
              </w:rPr>
              <w:t>Governance and Oversight</w:t>
            </w:r>
          </w:p>
        </w:tc>
        <w:tc>
          <w:tcPr>
            <w:tcW w:w="7149" w:type="dxa"/>
            <w:vAlign w:val="center"/>
          </w:tcPr>
          <w:p w14:paraId="274A5FDF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Lack of reactivity, anticipation and flexibility from finance and procurement departement</w:t>
            </w:r>
          </w:p>
          <w:p w14:paraId="6B4CBDF5" w14:textId="77777777" w:rsidR="00FB1B76" w:rsidRPr="00AF37E1" w:rsidRDefault="00FB1B76" w:rsidP="00FB1B76">
            <w:pPr>
              <w:jc w:val="center"/>
              <w:rPr>
                <w:noProof/>
                <w:sz w:val="20"/>
                <w:lang w:eastAsia="en-GB"/>
              </w:rPr>
            </w:pPr>
            <w:r w:rsidRPr="00AF37E1">
              <w:rPr>
                <w:noProof/>
                <w:sz w:val="20"/>
                <w:lang w:eastAsia="en-GB"/>
              </w:rPr>
              <w:t>Poor quality of financial and programmatic reporting</w:t>
            </w:r>
          </w:p>
        </w:tc>
      </w:tr>
    </w:tbl>
    <w:p w14:paraId="4600CF78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p w14:paraId="2824182B" w14:textId="58F4C86D" w:rsidR="00FB1B76" w:rsidRDefault="00FB1B76" w:rsidP="00FB1B76">
      <w:pPr>
        <w:rPr>
          <w:noProof/>
          <w:sz w:val="20"/>
          <w:lang w:eastAsia="en-GB"/>
        </w:rPr>
      </w:pPr>
      <w:r w:rsidRPr="00AF37E1">
        <w:rPr>
          <w:noProof/>
          <w:sz w:val="20"/>
          <w:lang w:eastAsia="en-GB"/>
        </w:rPr>
        <w:t xml:space="preserve">Worth noticing that the grant is currently under investigation and that OIG investigation report </w:t>
      </w:r>
      <w:r w:rsidR="004B306A">
        <w:rPr>
          <w:noProof/>
          <w:sz w:val="20"/>
          <w:lang w:eastAsia="en-GB"/>
        </w:rPr>
        <w:t>with</w:t>
      </w:r>
      <w:r>
        <w:rPr>
          <w:noProof/>
          <w:sz w:val="20"/>
          <w:lang w:eastAsia="en-GB"/>
        </w:rPr>
        <w:t xml:space="preserve"> recommendations is</w:t>
      </w:r>
      <w:r w:rsidRPr="00AF37E1">
        <w:rPr>
          <w:noProof/>
          <w:sz w:val="20"/>
          <w:lang w:eastAsia="en-GB"/>
        </w:rPr>
        <w:t xml:space="preserve"> expected</w:t>
      </w:r>
      <w:r>
        <w:rPr>
          <w:noProof/>
          <w:sz w:val="20"/>
          <w:lang w:eastAsia="en-GB"/>
        </w:rPr>
        <w:t xml:space="preserve"> soon</w:t>
      </w:r>
      <w:r w:rsidRPr="00AF37E1">
        <w:rPr>
          <w:noProof/>
          <w:sz w:val="20"/>
          <w:lang w:eastAsia="en-GB"/>
        </w:rPr>
        <w:t>.</w:t>
      </w:r>
    </w:p>
    <w:p w14:paraId="04660793" w14:textId="77777777" w:rsidR="00F109F7" w:rsidRPr="00AF37E1" w:rsidRDefault="00F109F7" w:rsidP="00FB1B76">
      <w:pPr>
        <w:rPr>
          <w:noProof/>
          <w:sz w:val="20"/>
          <w:lang w:eastAsia="en-GB"/>
        </w:rPr>
      </w:pPr>
    </w:p>
    <w:p w14:paraId="5FECFC10" w14:textId="529F3912" w:rsidR="00FB1B76" w:rsidRPr="00AF37E1" w:rsidRDefault="006D0C79" w:rsidP="006D0C79">
      <w:pPr>
        <w:rPr>
          <w:b/>
          <w:noProof/>
          <w:sz w:val="20"/>
          <w:lang w:eastAsia="en-GB"/>
        </w:rPr>
      </w:pPr>
      <w:r>
        <w:rPr>
          <w:b/>
          <w:noProof/>
          <w:sz w:val="20"/>
          <w:lang w:eastAsia="en-GB"/>
        </w:rPr>
        <w:lastRenderedPageBreak/>
        <w:t xml:space="preserve">5. Final </w:t>
      </w:r>
      <w:r w:rsidR="00FB1B76" w:rsidRPr="00AF37E1">
        <w:rPr>
          <w:b/>
          <w:noProof/>
          <w:sz w:val="20"/>
          <w:lang w:eastAsia="en-GB"/>
        </w:rPr>
        <w:t>Grant rating</w:t>
      </w:r>
      <w:r w:rsidR="0083362C">
        <w:rPr>
          <w:b/>
          <w:noProof/>
          <w:sz w:val="20"/>
          <w:lang w:eastAsia="en-GB"/>
        </w:rPr>
        <w:t xml:space="preserve"> </w:t>
      </w:r>
      <w:r w:rsidR="0083362C">
        <w:rPr>
          <w:rFonts w:cs="Arial"/>
          <w:b/>
          <w:sz w:val="20"/>
        </w:rPr>
        <w:t>KAZ-809-G04-T</w:t>
      </w:r>
    </w:p>
    <w:p w14:paraId="218EE85A" w14:textId="77777777" w:rsidR="00FB1B76" w:rsidRPr="00AF37E1" w:rsidRDefault="00FB1B76" w:rsidP="00FB1B76">
      <w:pPr>
        <w:rPr>
          <w:noProof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B1B76" w:rsidRPr="00AF37E1" w14:paraId="2AE2AB86" w14:textId="77777777" w:rsidTr="00FB1B76">
        <w:tc>
          <w:tcPr>
            <w:tcW w:w="3080" w:type="dxa"/>
            <w:vAlign w:val="center"/>
          </w:tcPr>
          <w:p w14:paraId="027485D0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2011</w:t>
            </w:r>
          </w:p>
        </w:tc>
        <w:tc>
          <w:tcPr>
            <w:tcW w:w="6162" w:type="dxa"/>
            <w:gridSpan w:val="2"/>
            <w:vAlign w:val="center"/>
          </w:tcPr>
          <w:p w14:paraId="4B3E2A1E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2012</w:t>
            </w:r>
          </w:p>
        </w:tc>
      </w:tr>
      <w:tr w:rsidR="00FB1B76" w:rsidRPr="00AF37E1" w14:paraId="7EF74EF9" w14:textId="77777777" w:rsidTr="00FB1B76">
        <w:tc>
          <w:tcPr>
            <w:tcW w:w="3080" w:type="dxa"/>
            <w:vAlign w:val="center"/>
          </w:tcPr>
          <w:p w14:paraId="54DB105D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1 July – 31 December</w:t>
            </w:r>
          </w:p>
        </w:tc>
        <w:tc>
          <w:tcPr>
            <w:tcW w:w="3081" w:type="dxa"/>
            <w:vAlign w:val="center"/>
          </w:tcPr>
          <w:p w14:paraId="730FB412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1 January – 30 June</w:t>
            </w:r>
          </w:p>
        </w:tc>
        <w:tc>
          <w:tcPr>
            <w:tcW w:w="3081" w:type="dxa"/>
            <w:vAlign w:val="center"/>
          </w:tcPr>
          <w:p w14:paraId="3C7C1325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1 July – 31 December</w:t>
            </w:r>
          </w:p>
        </w:tc>
      </w:tr>
      <w:tr w:rsidR="00FB1B76" w:rsidRPr="00AF37E1" w14:paraId="238BB6B6" w14:textId="77777777" w:rsidTr="00FB1B76">
        <w:tc>
          <w:tcPr>
            <w:tcW w:w="3080" w:type="dxa"/>
            <w:shd w:val="clear" w:color="auto" w:fill="FFFF00"/>
            <w:vAlign w:val="center"/>
          </w:tcPr>
          <w:p w14:paraId="709DB32B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B1</w:t>
            </w:r>
          </w:p>
        </w:tc>
        <w:tc>
          <w:tcPr>
            <w:tcW w:w="3081" w:type="dxa"/>
            <w:shd w:val="clear" w:color="auto" w:fill="FFFF00"/>
            <w:vAlign w:val="center"/>
          </w:tcPr>
          <w:p w14:paraId="6CEF7D77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B1</w:t>
            </w:r>
          </w:p>
        </w:tc>
        <w:tc>
          <w:tcPr>
            <w:tcW w:w="3081" w:type="dxa"/>
            <w:shd w:val="clear" w:color="auto" w:fill="FFFF00"/>
            <w:vAlign w:val="center"/>
          </w:tcPr>
          <w:p w14:paraId="3AAD4062" w14:textId="77777777" w:rsidR="00FB1B76" w:rsidRPr="00AF37E1" w:rsidRDefault="00FB1B76" w:rsidP="00FB1B76">
            <w:pPr>
              <w:jc w:val="center"/>
              <w:rPr>
                <w:rFonts w:cs="Arial"/>
                <w:sz w:val="20"/>
              </w:rPr>
            </w:pPr>
            <w:r w:rsidRPr="00AF37E1">
              <w:rPr>
                <w:rFonts w:cs="Arial"/>
                <w:sz w:val="20"/>
              </w:rPr>
              <w:t>B1</w:t>
            </w:r>
          </w:p>
        </w:tc>
      </w:tr>
    </w:tbl>
    <w:p w14:paraId="48BA56C7" w14:textId="77777777" w:rsidR="005C347E" w:rsidRDefault="005C347E" w:rsidP="00FB1B76">
      <w:pPr>
        <w:rPr>
          <w:sz w:val="20"/>
        </w:rPr>
      </w:pPr>
    </w:p>
    <w:p w14:paraId="2F9FFF0A" w14:textId="77777777" w:rsidR="005C347E" w:rsidRDefault="005C347E" w:rsidP="00FB1B76">
      <w:pPr>
        <w:rPr>
          <w:sz w:val="20"/>
        </w:rPr>
      </w:pPr>
    </w:p>
    <w:p w14:paraId="27DA96B0" w14:textId="74354B09" w:rsidR="00FB1B76" w:rsidRDefault="006D0C79" w:rsidP="006D0C79">
      <w:pPr>
        <w:jc w:val="center"/>
        <w:rPr>
          <w:rFonts w:eastAsia="Adobe Fangsong Std R" w:cs="Aparajita"/>
          <w:b/>
          <w:color w:val="000000" w:themeColor="text1"/>
          <w:sz w:val="20"/>
          <w:szCs w:val="20"/>
        </w:rPr>
      </w:pPr>
      <w:r w:rsidRPr="00F109F7">
        <w:rPr>
          <w:rFonts w:eastAsia="Adobe Fangsong Std R" w:cs="Aparajita"/>
          <w:b/>
          <w:color w:val="000000" w:themeColor="text1"/>
          <w:sz w:val="20"/>
          <w:szCs w:val="20"/>
        </w:rPr>
        <w:t>Annexe</w:t>
      </w:r>
    </w:p>
    <w:p w14:paraId="6CCF43B2" w14:textId="77777777" w:rsidR="005C347E" w:rsidRPr="00F109F7" w:rsidRDefault="005C347E" w:rsidP="006D0C79">
      <w:pPr>
        <w:jc w:val="center"/>
        <w:rPr>
          <w:rFonts w:eastAsia="Adobe Fangsong Std R" w:cs="Aparajita"/>
          <w:b/>
          <w:color w:val="000000" w:themeColor="text1"/>
          <w:sz w:val="20"/>
          <w:szCs w:val="20"/>
        </w:rPr>
      </w:pPr>
    </w:p>
    <w:p w14:paraId="252B162E" w14:textId="77777777" w:rsidR="005C347E" w:rsidRPr="005C347E" w:rsidRDefault="005C347E" w:rsidP="005C347E">
      <w:pPr>
        <w:jc w:val="center"/>
        <w:rPr>
          <w:rFonts w:eastAsia="Adobe Fangsong Std R" w:cs="Aparajita"/>
          <w:b/>
          <w:sz w:val="20"/>
          <w:szCs w:val="20"/>
        </w:rPr>
      </w:pPr>
      <w:r w:rsidRPr="005C347E">
        <w:rPr>
          <w:rFonts w:eastAsia="Adobe Fangsong Std R" w:cs="Aparajita"/>
          <w:b/>
          <w:sz w:val="20"/>
          <w:szCs w:val="20"/>
        </w:rPr>
        <w:t>Kazakhstan – TB Program</w:t>
      </w:r>
    </w:p>
    <w:p w14:paraId="00FEB6A3" w14:textId="77777777" w:rsidR="005C347E" w:rsidRPr="00D23A32" w:rsidRDefault="005C347E" w:rsidP="005C347E">
      <w:pPr>
        <w:rPr>
          <w:rFonts w:ascii="Aparajita" w:eastAsia="Adobe Fangsong Std R" w:hAnsi="Aparajita" w:cs="Aparajita"/>
          <w:color w:val="002060"/>
          <w:sz w:val="20"/>
          <w:szCs w:val="20"/>
        </w:rPr>
      </w:pPr>
      <w:r w:rsidRPr="00D23A32">
        <w:rPr>
          <w:rFonts w:ascii="Aparajita" w:eastAsia="Adobe Fangsong Std R" w:hAnsi="Aparajita" w:cs="Aparajita"/>
          <w:color w:val="002060"/>
          <w:sz w:val="20"/>
          <w:szCs w:val="20"/>
        </w:rPr>
        <w:tab/>
      </w:r>
      <w:r w:rsidRPr="00D23A32">
        <w:rPr>
          <w:rFonts w:ascii="Aparajita" w:eastAsia="Adobe Fangsong Std R" w:hAnsi="Aparajita" w:cs="Aparajita"/>
          <w:color w:val="002060"/>
          <w:sz w:val="20"/>
          <w:szCs w:val="20"/>
        </w:rPr>
        <w:tab/>
      </w:r>
      <w:r w:rsidRPr="00D23A32">
        <w:rPr>
          <w:rFonts w:ascii="Aparajita" w:eastAsia="Adobe Fangsong Std R" w:hAnsi="Aparajita" w:cs="Aparajita"/>
          <w:color w:val="002060"/>
          <w:sz w:val="20"/>
          <w:szCs w:val="20"/>
        </w:rPr>
        <w:tab/>
      </w:r>
      <w:r w:rsidRPr="00D23A32">
        <w:rPr>
          <w:rFonts w:ascii="Aparajita" w:eastAsia="Adobe Fangsong Std R" w:hAnsi="Aparajita" w:cs="Aparajita"/>
          <w:color w:val="002060"/>
          <w:sz w:val="20"/>
          <w:szCs w:val="20"/>
        </w:rPr>
        <w:tab/>
      </w:r>
      <w:r w:rsidRPr="00D23A32">
        <w:rPr>
          <w:rFonts w:ascii="Aparajita" w:eastAsia="Adobe Fangsong Std R" w:hAnsi="Aparajita" w:cs="Aparajita"/>
          <w:color w:val="002060"/>
          <w:sz w:val="20"/>
          <w:szCs w:val="20"/>
        </w:rPr>
        <w:tab/>
      </w:r>
      <w:r w:rsidRPr="00D23A32">
        <w:rPr>
          <w:rFonts w:ascii="Aparajita" w:eastAsia="Adobe Fangsong Std R" w:hAnsi="Aparajita" w:cs="Aparajita"/>
          <w:color w:val="002060"/>
          <w:sz w:val="20"/>
          <w:szCs w:val="20"/>
        </w:rPr>
        <w:tab/>
        <w:t xml:space="preserve">           </w:t>
      </w:r>
      <w:r w:rsidRPr="00D23A32">
        <w:rPr>
          <w:rFonts w:ascii="Aparajita" w:eastAsia="Adobe Fangsong Std R" w:hAnsi="Aparajita" w:cs="Aparajita"/>
          <w:color w:val="002060"/>
          <w:sz w:val="20"/>
          <w:szCs w:val="20"/>
        </w:rPr>
        <w:tab/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C347E" w:rsidRPr="005C347E" w14:paraId="5E1F5DCC" w14:textId="77777777" w:rsidTr="00213F29">
        <w:tc>
          <w:tcPr>
            <w:tcW w:w="4661" w:type="dxa"/>
            <w:tcBorders>
              <w:bottom w:val="dotted" w:sz="4" w:space="0" w:color="auto"/>
            </w:tcBorders>
            <w:shd w:val="clear" w:color="auto" w:fill="auto"/>
          </w:tcPr>
          <w:p w14:paraId="46B1291C" w14:textId="77777777" w:rsidR="005C347E" w:rsidRPr="005C347E" w:rsidRDefault="005C347E" w:rsidP="00213F29">
            <w:pPr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</w:pPr>
            <w:r w:rsidRPr="005C347E">
              <w:rPr>
                <w:rFonts w:ascii="Aparajita" w:eastAsia="Adobe Fangsong Std R" w:hAnsi="Aparajita" w:cs="Aparajita"/>
                <w:sz w:val="20"/>
                <w:szCs w:val="20"/>
              </w:rPr>
              <w:t>Upper middle income country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shd w:val="clear" w:color="auto" w:fill="auto"/>
          </w:tcPr>
          <w:p w14:paraId="15830339" w14:textId="77777777" w:rsidR="005C347E" w:rsidRPr="005C347E" w:rsidRDefault="005C347E" w:rsidP="00213F29">
            <w:pPr>
              <w:jc w:val="right"/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</w:pPr>
            <w:r w:rsidRPr="005C347E">
              <w:rPr>
                <w:rFonts w:ascii="Aparajita" w:eastAsia="Adobe Fangsong Std R" w:hAnsi="Aparajita" w:cs="Aparajita"/>
                <w:sz w:val="20"/>
                <w:szCs w:val="20"/>
              </w:rPr>
              <w:t xml:space="preserve"> High MDR-TB burden country</w:t>
            </w:r>
          </w:p>
        </w:tc>
      </w:tr>
      <w:tr w:rsidR="005C347E" w:rsidRPr="005C347E" w14:paraId="6104B333" w14:textId="77777777" w:rsidTr="00213F29">
        <w:tc>
          <w:tcPr>
            <w:tcW w:w="9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745E4EDF" w14:textId="77777777" w:rsidR="005C347E" w:rsidRPr="005C347E" w:rsidRDefault="005C347E" w:rsidP="00213F29">
            <w:pPr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</w:pPr>
            <w:r w:rsidRPr="005C347E"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  <w:t>1. Context</w:t>
            </w:r>
          </w:p>
        </w:tc>
      </w:tr>
      <w:tr w:rsidR="005C347E" w:rsidRPr="005C347E" w14:paraId="0FFE6160" w14:textId="77777777" w:rsidTr="00213F29">
        <w:tc>
          <w:tcPr>
            <w:tcW w:w="9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8597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  <w:gridCol w:w="733"/>
              <w:gridCol w:w="1252"/>
              <w:gridCol w:w="1084"/>
            </w:tblGrid>
            <w:tr w:rsidR="005C347E" w:rsidRPr="005C347E" w14:paraId="51D5DB99" w14:textId="77777777" w:rsidTr="00213F29">
              <w:tc>
                <w:tcPr>
                  <w:tcW w:w="6261" w:type="dxa"/>
                  <w:gridSpan w:val="2"/>
                  <w:tcBorders>
                    <w:bottom w:val="dotted" w:sz="4" w:space="0" w:color="auto"/>
                  </w:tcBorders>
                </w:tcPr>
                <w:p w14:paraId="0C5BA4D7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16"/>
                      <w:szCs w:val="16"/>
                    </w:rPr>
                  </w:pPr>
                </w:p>
              </w:tc>
              <w:tc>
                <w:tcPr>
                  <w:tcW w:w="1252" w:type="dxa"/>
                  <w:tcBorders>
                    <w:bottom w:val="dotted" w:sz="4" w:space="0" w:color="auto"/>
                  </w:tcBorders>
                </w:tcPr>
                <w:p w14:paraId="32CF8281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16"/>
                      <w:szCs w:val="16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16"/>
                      <w:szCs w:val="16"/>
                    </w:rPr>
                    <w:t>Figure</w:t>
                  </w:r>
                </w:p>
              </w:tc>
              <w:tc>
                <w:tcPr>
                  <w:tcW w:w="1084" w:type="dxa"/>
                  <w:tcBorders>
                    <w:bottom w:val="dotted" w:sz="4" w:space="0" w:color="auto"/>
                  </w:tcBorders>
                </w:tcPr>
                <w:p w14:paraId="5DCE63C1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16"/>
                      <w:szCs w:val="16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16"/>
                      <w:szCs w:val="16"/>
                    </w:rPr>
                    <w:t>Year</w:t>
                  </w:r>
                </w:p>
              </w:tc>
            </w:tr>
            <w:tr w:rsidR="005C347E" w:rsidRPr="005C347E" w14:paraId="7E51D3D1" w14:textId="77777777" w:rsidTr="00213F29"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56596C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Total population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FB139BC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16 million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D00AF4C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2011</w:t>
                  </w:r>
                </w:p>
              </w:tc>
            </w:tr>
            <w:tr w:rsidR="005C347E" w:rsidRPr="005C347E" w14:paraId="546A0714" w14:textId="77777777" w:rsidTr="00213F29"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37F7A2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TB mortality (excludes  HIV+TB)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223BB53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2,200 (14 per 100, 000)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D61ED6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2011</w:t>
                  </w:r>
                </w:p>
              </w:tc>
            </w:tr>
            <w:tr w:rsidR="005C347E" w:rsidRPr="005C347E" w14:paraId="13107104" w14:textId="77777777" w:rsidTr="00213F29"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29E768B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 xml:space="preserve">TB prevalence (includes HIV+TB)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3651AB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27,000 (168 per 100,000)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2E7D62F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2011</w:t>
                  </w:r>
                </w:p>
              </w:tc>
            </w:tr>
            <w:tr w:rsidR="005C347E" w:rsidRPr="005C347E" w14:paraId="24B6266C" w14:textId="77777777" w:rsidTr="00213F29"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CC52CF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Incidence (includes HIV+TB)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191D46C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21,000 (129 per 100,000)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28F0B6C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2011</w:t>
                  </w:r>
                </w:p>
              </w:tc>
            </w:tr>
            <w:tr w:rsidR="005C347E" w:rsidRPr="005C347E" w14:paraId="268543A8" w14:textId="77777777" w:rsidTr="00213F29"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AECBE32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 xml:space="preserve">HIV/TB co-infection, incidence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497082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330 (2 per 100,000)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76E1E18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2011</w:t>
                  </w:r>
                </w:p>
              </w:tc>
            </w:tr>
            <w:tr w:rsidR="005C347E" w:rsidRPr="005C347E" w14:paraId="41E86C7F" w14:textId="77777777" w:rsidTr="00213F29"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1813BB4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Case detection, all forms (%)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5DC40A8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92%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DA945D2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2011</w:t>
                  </w:r>
                </w:p>
              </w:tc>
            </w:tr>
            <w:tr w:rsidR="005C347E" w:rsidRPr="005C347E" w14:paraId="3818ACC4" w14:textId="77777777" w:rsidTr="00213F29"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C970A7F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TB cases with MDR-TB: New (%)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97A731F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99F1C98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2011</w:t>
                  </w:r>
                </w:p>
              </w:tc>
            </w:tr>
            <w:tr w:rsidR="005C347E" w:rsidRPr="005C347E" w14:paraId="4FAA28E8" w14:textId="77777777" w:rsidTr="00213F29"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5A8A1DD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TB cases with MDR-TB: Retreatment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15659C6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51%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BEED7F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2011</w:t>
                  </w:r>
                </w:p>
              </w:tc>
            </w:tr>
            <w:tr w:rsidR="005C347E" w:rsidRPr="005C347E" w14:paraId="39787FFF" w14:textId="77777777" w:rsidTr="00213F29"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F02B37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Treatment success rate (new smear + or culture positive)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B6BC24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61%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A5C7EC8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2010</w:t>
                  </w:r>
                </w:p>
              </w:tc>
            </w:tr>
            <w:tr w:rsidR="005C347E" w:rsidRPr="005C347E" w14:paraId="5110CDB8" w14:textId="77777777" w:rsidTr="00213F29"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ED31C19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Rank in TB mortality (in absolute number)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E9C957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ADDFBC7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2011</w:t>
                  </w:r>
                </w:p>
              </w:tc>
            </w:tr>
            <w:tr w:rsidR="005C347E" w:rsidRPr="005C347E" w14:paraId="1A0B4C7C" w14:textId="77777777" w:rsidTr="00213F29"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CB0F02D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Rank in TB mortality (per 100,000)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AFAAA23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5DFEF7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2011</w:t>
                  </w:r>
                </w:p>
              </w:tc>
            </w:tr>
          </w:tbl>
          <w:p w14:paraId="3E81E32D" w14:textId="77777777" w:rsidR="005C347E" w:rsidRPr="005C347E" w:rsidRDefault="005C347E" w:rsidP="00213F29"/>
          <w:tbl>
            <w:tblPr>
              <w:tblStyle w:val="TableGrid"/>
              <w:tblW w:w="8597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13"/>
              <w:gridCol w:w="1084"/>
            </w:tblGrid>
            <w:tr w:rsidR="005C347E" w:rsidRPr="005C347E" w14:paraId="7053BE91" w14:textId="77777777" w:rsidTr="00213F29">
              <w:tc>
                <w:tcPr>
                  <w:tcW w:w="75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7F4FCAF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Global Fund (GF) TB disbursement (cumulative, up to October 2012)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8E760E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$54 million</w:t>
                  </w:r>
                </w:p>
              </w:tc>
            </w:tr>
            <w:tr w:rsidR="005C347E" w:rsidRPr="005C347E" w14:paraId="2A5A966C" w14:textId="77777777" w:rsidTr="00213F29">
              <w:tc>
                <w:tcPr>
                  <w:tcW w:w="75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C2A574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Rank in GF TB disbursement across all years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15238D1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14</w:t>
                  </w:r>
                </w:p>
              </w:tc>
            </w:tr>
            <w:tr w:rsidR="005C347E" w:rsidRPr="005C347E" w14:paraId="60A8F0EA" w14:textId="77777777" w:rsidTr="00213F29">
              <w:tc>
                <w:tcPr>
                  <w:tcW w:w="75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4987AC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Rank in GF TB disbursement across all years, per estimated average number of new TB cases across same years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FE6B48A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38</w:t>
                  </w:r>
                </w:p>
              </w:tc>
            </w:tr>
            <w:tr w:rsidR="005C347E" w:rsidRPr="005C347E" w14:paraId="35BC0CD9" w14:textId="77777777" w:rsidTr="00213F29">
              <w:tc>
                <w:tcPr>
                  <w:tcW w:w="75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2F3898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proofErr w:type="spellStart"/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Percent</w:t>
                  </w:r>
                  <w:proofErr w:type="spellEnd"/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 xml:space="preserve"> share of this country out of total GF TB disbursement across all years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9AF529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1.8%</w:t>
                  </w:r>
                </w:p>
              </w:tc>
            </w:tr>
            <w:tr w:rsidR="005C347E" w:rsidRPr="005C347E" w14:paraId="1BC2EDC2" w14:textId="77777777" w:rsidTr="00213F29">
              <w:tc>
                <w:tcPr>
                  <w:tcW w:w="75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A45AA57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proofErr w:type="spellStart"/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Percent</w:t>
                  </w:r>
                  <w:proofErr w:type="spellEnd"/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 xml:space="preserve"> share of this country out of total estimated number of TB deaths across all countries</w:t>
                  </w:r>
                </w:p>
              </w:tc>
              <w:tc>
                <w:tcPr>
                  <w:tcW w:w="10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DA4865A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20"/>
                      <w:szCs w:val="20"/>
                    </w:rPr>
                    <w:t>0.2%</w:t>
                  </w:r>
                </w:p>
              </w:tc>
            </w:tr>
            <w:tr w:rsidR="005C347E" w:rsidRPr="005C347E" w14:paraId="37E582AE" w14:textId="77777777" w:rsidTr="00213F29">
              <w:tc>
                <w:tcPr>
                  <w:tcW w:w="8597" w:type="dxa"/>
                  <w:gridSpan w:val="2"/>
                  <w:vAlign w:val="center"/>
                </w:tcPr>
                <w:p w14:paraId="2027F4C2" w14:textId="77777777" w:rsidR="005C347E" w:rsidRPr="005C347E" w:rsidRDefault="005C347E" w:rsidP="00213F29">
                  <w:pPr>
                    <w:rPr>
                      <w:rFonts w:ascii="Aparajita" w:eastAsia="Adobe Fangsong Std R" w:hAnsi="Aparajita" w:cs="Aparajita"/>
                      <w:sz w:val="16"/>
                      <w:szCs w:val="16"/>
                    </w:rPr>
                  </w:pPr>
                  <w:r w:rsidRPr="005C347E">
                    <w:rPr>
                      <w:rFonts w:ascii="Aparajita" w:eastAsia="Adobe Fangsong Std R" w:hAnsi="Aparajita" w:cs="Aparajita"/>
                      <w:sz w:val="16"/>
                      <w:szCs w:val="16"/>
                    </w:rPr>
                    <w:t>Sources:  Global TB report and GMS</w:t>
                  </w:r>
                </w:p>
              </w:tc>
            </w:tr>
          </w:tbl>
          <w:p w14:paraId="7AD31CA2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noProof/>
                <w:sz w:val="16"/>
                <w:szCs w:val="16"/>
              </w:rPr>
            </w:pPr>
          </w:p>
        </w:tc>
      </w:tr>
    </w:tbl>
    <w:p w14:paraId="2CEA505B" w14:textId="77777777" w:rsidR="005C347E" w:rsidRPr="005C347E" w:rsidRDefault="005C347E" w:rsidP="005C347E"/>
    <w:p w14:paraId="34197A8B" w14:textId="77777777" w:rsidR="005C347E" w:rsidRPr="005C347E" w:rsidRDefault="005C347E" w:rsidP="005C347E">
      <w:pPr>
        <w:spacing w:after="200" w:line="276" w:lineRule="auto"/>
        <w:rPr>
          <w:rFonts w:ascii="Aparajita" w:hAnsi="Aparajita" w:cs="Aparajita"/>
          <w:i/>
          <w:sz w:val="18"/>
          <w:szCs w:val="18"/>
        </w:rPr>
      </w:pPr>
    </w:p>
    <w:p w14:paraId="507EE4E9" w14:textId="77777777" w:rsidR="005C347E" w:rsidRPr="005C347E" w:rsidRDefault="005C347E" w:rsidP="005C347E">
      <w:pPr>
        <w:spacing w:after="200" w:line="276" w:lineRule="auto"/>
        <w:rPr>
          <w:rFonts w:ascii="Aparajita" w:hAnsi="Aparajita" w:cs="Aparajita"/>
          <w:i/>
          <w:sz w:val="18"/>
          <w:szCs w:val="18"/>
        </w:rPr>
      </w:pPr>
      <w:r w:rsidRPr="005C347E">
        <w:rPr>
          <w:rFonts w:ascii="Aparajita" w:hAnsi="Aparajita" w:cs="Aparajita"/>
          <w:i/>
          <w:sz w:val="18"/>
          <w:szCs w:val="18"/>
        </w:rPr>
        <w:br w:type="page"/>
      </w:r>
    </w:p>
    <w:p w14:paraId="2F20A440" w14:textId="77777777" w:rsidR="005C347E" w:rsidRPr="005C347E" w:rsidRDefault="005C347E" w:rsidP="005C347E"/>
    <w:tbl>
      <w:tblPr>
        <w:tblStyle w:val="TableGrid2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838"/>
      </w:tblGrid>
      <w:tr w:rsidR="005C347E" w:rsidRPr="005C347E" w14:paraId="38B2C311" w14:textId="77777777" w:rsidTr="00213F29">
        <w:tc>
          <w:tcPr>
            <w:tcW w:w="9322" w:type="dxa"/>
            <w:gridSpan w:val="2"/>
            <w:shd w:val="clear" w:color="auto" w:fill="C6D9F1" w:themeFill="text2" w:themeFillTint="33"/>
          </w:tcPr>
          <w:p w14:paraId="1249EA6B" w14:textId="77777777" w:rsidR="005C347E" w:rsidRPr="005C347E" w:rsidRDefault="005C347E" w:rsidP="00213F29">
            <w:pPr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</w:pPr>
            <w:r w:rsidRPr="005C347E"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  <w:t>2. Impact profile</w:t>
            </w:r>
          </w:p>
        </w:tc>
      </w:tr>
      <w:tr w:rsidR="005C347E" w:rsidRPr="005C347E" w14:paraId="356EC4DE" w14:textId="77777777" w:rsidTr="00213F29">
        <w:tc>
          <w:tcPr>
            <w:tcW w:w="932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CF245DB" w14:textId="77777777" w:rsidR="005C347E" w:rsidRPr="005C347E" w:rsidRDefault="005C347E" w:rsidP="00213F29">
            <w:pPr>
              <w:jc w:val="center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</w:tr>
      <w:tr w:rsidR="005C347E" w:rsidRPr="005C347E" w14:paraId="69480081" w14:textId="77777777" w:rsidTr="00213F29">
        <w:tc>
          <w:tcPr>
            <w:tcW w:w="4484" w:type="dxa"/>
            <w:tcBorders>
              <w:bottom w:val="dotted" w:sz="4" w:space="0" w:color="auto"/>
            </w:tcBorders>
            <w:shd w:val="clear" w:color="auto" w:fill="C6D9F1" w:themeFill="text2" w:themeFillTint="33"/>
          </w:tcPr>
          <w:p w14:paraId="7583381C" w14:textId="77777777" w:rsidR="005C347E" w:rsidRPr="005C347E" w:rsidRDefault="005C347E" w:rsidP="00213F29">
            <w:pPr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</w:pPr>
            <w:r w:rsidRPr="005C347E"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  <w:t xml:space="preserve">2.1 Impact rating: </w:t>
            </w:r>
          </w:p>
        </w:tc>
        <w:tc>
          <w:tcPr>
            <w:tcW w:w="4838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60C849B" w14:textId="77777777" w:rsidR="005C347E" w:rsidRPr="005C347E" w:rsidRDefault="005C347E" w:rsidP="00213F29">
            <w:pPr>
              <w:jc w:val="center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b/>
                <w:sz w:val="20"/>
                <w:szCs w:val="20"/>
              </w:rPr>
              <w:t>Progress towards impact</w:t>
            </w:r>
          </w:p>
        </w:tc>
      </w:tr>
    </w:tbl>
    <w:tbl>
      <w:tblPr>
        <w:tblStyle w:val="TableGrid"/>
        <w:tblW w:w="9322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5C347E" w:rsidRPr="005C347E" w14:paraId="0FB2CFDE" w14:textId="77777777" w:rsidTr="00213F29">
        <w:trPr>
          <w:trHeight w:val="66"/>
        </w:trPr>
        <w:tc>
          <w:tcPr>
            <w:tcW w:w="9322" w:type="dxa"/>
            <w:gridSpan w:val="3"/>
            <w:shd w:val="clear" w:color="auto" w:fill="FFFFFF" w:themeFill="background1"/>
          </w:tcPr>
          <w:p w14:paraId="0A4838AC" w14:textId="77777777" w:rsidR="005C347E" w:rsidRPr="005C347E" w:rsidRDefault="005C347E" w:rsidP="00213F29">
            <w:pPr>
              <w:rPr>
                <w:rFonts w:ascii="Adobe Fangsong Std R" w:eastAsia="Adobe Fangsong Std R" w:hAnsi="Adobe Fangsong Std R" w:cs="Aparajita"/>
                <w:b/>
                <w:sz w:val="16"/>
                <w:szCs w:val="16"/>
              </w:rPr>
            </w:pPr>
          </w:p>
        </w:tc>
      </w:tr>
      <w:tr w:rsidR="005C347E" w:rsidRPr="005C347E" w14:paraId="13147016" w14:textId="77777777" w:rsidTr="00213F29">
        <w:tc>
          <w:tcPr>
            <w:tcW w:w="9322" w:type="dxa"/>
            <w:gridSpan w:val="3"/>
            <w:shd w:val="clear" w:color="auto" w:fill="C6D9F1" w:themeFill="text2" w:themeFillTint="33"/>
          </w:tcPr>
          <w:p w14:paraId="59DD1FA9" w14:textId="77777777" w:rsidR="005C347E" w:rsidRPr="005C347E" w:rsidRDefault="005C347E" w:rsidP="00213F29">
            <w:pPr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</w:pPr>
            <w:r w:rsidRPr="005C347E"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  <w:t>Trends in disease morbidity and mortality</w:t>
            </w:r>
            <w:r w:rsidRPr="005C347E" w:rsidDel="005529A9"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  <w:t xml:space="preserve"> </w:t>
            </w:r>
            <w:r w:rsidRPr="005C347E"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  <w:t>(</w:t>
            </w:r>
            <w:r w:rsidRPr="005C347E">
              <w:rPr>
                <w:rFonts w:ascii="Adobe Fangsong Std R" w:eastAsia="Adobe Fangsong Std R" w:hAnsi="Adobe Fangsong Std R" w:cs="Aparajita"/>
                <w:sz w:val="16"/>
                <w:szCs w:val="16"/>
              </w:rPr>
              <w:t xml:space="preserve">Has there been a </w:t>
            </w:r>
            <w:proofErr w:type="spellStart"/>
            <w:r w:rsidRPr="005C347E">
              <w:rPr>
                <w:rFonts w:ascii="Adobe Fangsong Std R" w:eastAsia="Adobe Fangsong Std R" w:hAnsi="Adobe Fangsong Std R" w:cs="Aparajita"/>
                <w:sz w:val="16"/>
                <w:szCs w:val="16"/>
              </w:rPr>
              <w:t>favorable</w:t>
            </w:r>
            <w:proofErr w:type="spellEnd"/>
            <w:r w:rsidRPr="005C347E">
              <w:rPr>
                <w:rFonts w:ascii="Adobe Fangsong Std R" w:eastAsia="Adobe Fangsong Std R" w:hAnsi="Adobe Fangsong Std R" w:cs="Aparajita"/>
                <w:sz w:val="16"/>
                <w:szCs w:val="16"/>
              </w:rPr>
              <w:t xml:space="preserve"> change in disease mortality and/or morbidity in line with the increase in coverage of key intervention services and/or improvement of services quality and outcome)?</w:t>
            </w:r>
          </w:p>
        </w:tc>
      </w:tr>
      <w:tr w:rsidR="005C347E" w:rsidRPr="005C347E" w14:paraId="47FE7277" w14:textId="77777777" w:rsidTr="00213F29">
        <w:tc>
          <w:tcPr>
            <w:tcW w:w="9322" w:type="dxa"/>
            <w:gridSpan w:val="3"/>
            <w:shd w:val="clear" w:color="auto" w:fill="FFFFFF" w:themeFill="background1"/>
          </w:tcPr>
          <w:p w14:paraId="121CBFBB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73F42433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 xml:space="preserve">Kazakhstan is a high MDR-TB burden country with an estimated MDR-TB prevalence of 30% in new cases and 51% in previously treated cases. The country had witnessed a major upsurge in TB incidence and mortality in 90s following the breakdown of soviet union. </w:t>
            </w:r>
          </w:p>
          <w:p w14:paraId="781DAC5D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256A64F2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>Early 2000 saw a rapid scale-up of TB control efforts, with improvements in case notification and treatment outcomes. The case detection rate in 2011 is estimated at 92%. High MDR TB rates, have kept the treatment success rate at around 65%, being even lower among co-infected.</w:t>
            </w:r>
          </w:p>
          <w:p w14:paraId="7DAF66CF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4D081DAB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 xml:space="preserve">The current trends in TB incidence, prevalence and mortality demonstrate substantive reductions in burden (68%, 79% and 67% respectively) compared to the peak in 1998. The program has rapidly scaled up MDR-TB interventions, and has relatively one of the better treatment outcomes for MDR (73% treatment success rate), where defaults are maintained at around 5%, deaths (7%) and failures (7%) being the main adverse outcomes.  </w:t>
            </w:r>
          </w:p>
          <w:p w14:paraId="4B66F65F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48067EC4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>Over 85% of TB cases are being screened for HIV, but less than 10% of co-infected are initiated on ART.</w:t>
            </w:r>
          </w:p>
          <w:p w14:paraId="3C3A0064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182DD858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>Based on the above, the country is making Progress towards impact, with good progress on scaling up PMDT and sub-optimal progress in initiating co-infected on ART. The country has a potential for impact, if it successfully bridges the gap for MDR screening and treatment initiation, and ensuring all co-infected are initiated on ART and TB treatment.</w:t>
            </w:r>
          </w:p>
          <w:p w14:paraId="31D15D8B" w14:textId="77777777" w:rsidR="005C347E" w:rsidRPr="005C347E" w:rsidRDefault="005C347E" w:rsidP="00213F29">
            <w:pPr>
              <w:rPr>
                <w:rFonts w:ascii="Aparajita" w:hAnsi="Aparajita" w:cs="Aparajita"/>
                <w:sz w:val="18"/>
                <w:szCs w:val="18"/>
              </w:rPr>
            </w:pPr>
          </w:p>
        </w:tc>
      </w:tr>
      <w:tr w:rsidR="005C347E" w:rsidRPr="005C347E" w14:paraId="5D0B247B" w14:textId="77777777" w:rsidTr="00213F29">
        <w:tc>
          <w:tcPr>
            <w:tcW w:w="3107" w:type="dxa"/>
            <w:shd w:val="clear" w:color="auto" w:fill="FFFFFF" w:themeFill="background1"/>
          </w:tcPr>
          <w:p w14:paraId="077A1853" w14:textId="77777777" w:rsidR="005C347E" w:rsidRPr="005C347E" w:rsidRDefault="005C347E" w:rsidP="00213F29">
            <w:pPr>
              <w:jc w:val="both"/>
              <w:rPr>
                <w:rFonts w:cs="Arial"/>
                <w:i/>
                <w:noProof/>
                <w:sz w:val="16"/>
                <w:szCs w:val="16"/>
              </w:rPr>
            </w:pPr>
          </w:p>
          <w:p w14:paraId="7203DA80" w14:textId="77777777" w:rsidR="005C347E" w:rsidRPr="005C347E" w:rsidRDefault="005C347E" w:rsidP="00213F29">
            <w:pPr>
              <w:jc w:val="both"/>
              <w:rPr>
                <w:rFonts w:cs="Arial"/>
                <w:i/>
                <w:noProof/>
                <w:sz w:val="16"/>
                <w:szCs w:val="16"/>
              </w:rPr>
            </w:pPr>
          </w:p>
          <w:p w14:paraId="18E2631A" w14:textId="77777777" w:rsidR="005C347E" w:rsidRPr="005C347E" w:rsidRDefault="005C347E" w:rsidP="00213F29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5C347E">
              <w:rPr>
                <w:rFonts w:cs="Arial"/>
                <w:i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7057454" wp14:editId="174C8539">
                  <wp:extent cx="1882254" cy="1806855"/>
                  <wp:effectExtent l="0" t="0" r="381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443" cy="18070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00A700" w14:textId="77777777" w:rsidR="005C347E" w:rsidRPr="005C347E" w:rsidRDefault="005C347E" w:rsidP="00213F29">
            <w:pPr>
              <w:rPr>
                <w:rFonts w:cs="Arial"/>
                <w:i/>
                <w:sz w:val="16"/>
                <w:szCs w:val="16"/>
              </w:rPr>
            </w:pPr>
          </w:p>
          <w:p w14:paraId="74137A92" w14:textId="77777777" w:rsidR="005C347E" w:rsidRPr="005C347E" w:rsidRDefault="005C347E" w:rsidP="00213F29">
            <w:pPr>
              <w:rPr>
                <w:rFonts w:ascii="Aparajita" w:hAnsi="Aparajita" w:cs="Aparajita"/>
                <w:i/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14:paraId="2A522F7F" w14:textId="77777777" w:rsidR="005C347E" w:rsidRPr="005C347E" w:rsidRDefault="005C347E" w:rsidP="00213F29">
            <w:pPr>
              <w:rPr>
                <w:rFonts w:cs="Arial"/>
                <w:i/>
                <w:sz w:val="16"/>
                <w:szCs w:val="16"/>
              </w:rPr>
            </w:pPr>
          </w:p>
          <w:p w14:paraId="2DF4E9BD" w14:textId="77777777" w:rsidR="005C347E" w:rsidRPr="005C347E" w:rsidRDefault="005C347E" w:rsidP="00213F29">
            <w:pPr>
              <w:rPr>
                <w:rFonts w:cs="Arial"/>
                <w:i/>
                <w:sz w:val="16"/>
                <w:szCs w:val="16"/>
              </w:rPr>
            </w:pPr>
          </w:p>
          <w:p w14:paraId="27B7BFE5" w14:textId="77777777" w:rsidR="005C347E" w:rsidRPr="005C347E" w:rsidRDefault="005C347E" w:rsidP="00213F29">
            <w:pPr>
              <w:rPr>
                <w:rFonts w:cs="Arial"/>
                <w:i/>
                <w:noProof/>
                <w:sz w:val="16"/>
                <w:szCs w:val="16"/>
              </w:rPr>
            </w:pPr>
          </w:p>
          <w:p w14:paraId="4F496B90" w14:textId="77777777" w:rsidR="005C347E" w:rsidRPr="005C347E" w:rsidRDefault="005C347E" w:rsidP="00213F29">
            <w:pPr>
              <w:rPr>
                <w:rFonts w:cs="Arial"/>
                <w:i/>
                <w:sz w:val="16"/>
                <w:szCs w:val="16"/>
              </w:rPr>
            </w:pPr>
            <w:r w:rsidRPr="005C347E">
              <w:rPr>
                <w:rFonts w:cs="Arial"/>
                <w:i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D9F92DA" wp14:editId="1DD1A969">
                  <wp:extent cx="1862426" cy="1492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120" cy="14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shd w:val="clear" w:color="auto" w:fill="FFFFFF" w:themeFill="background1"/>
          </w:tcPr>
          <w:p w14:paraId="4EB05611" w14:textId="77777777" w:rsidR="005C347E" w:rsidRPr="005C347E" w:rsidRDefault="005C347E" w:rsidP="00213F29">
            <w:pPr>
              <w:rPr>
                <w:rFonts w:cs="Arial"/>
                <w:i/>
                <w:sz w:val="16"/>
                <w:szCs w:val="16"/>
              </w:rPr>
            </w:pPr>
          </w:p>
          <w:p w14:paraId="5DE2B373" w14:textId="77777777" w:rsidR="005C347E" w:rsidRPr="005C347E" w:rsidRDefault="005C347E" w:rsidP="00213F29">
            <w:pPr>
              <w:rPr>
                <w:rFonts w:cs="Arial"/>
                <w:i/>
                <w:sz w:val="16"/>
                <w:szCs w:val="16"/>
              </w:rPr>
            </w:pPr>
            <w:r w:rsidRPr="005C347E">
              <w:rPr>
                <w:rFonts w:cs="Arial"/>
                <w:i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F5CF07F" wp14:editId="7B82F952">
                  <wp:extent cx="1853230" cy="1616544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43" cy="1616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47E" w:rsidRPr="005C347E" w14:paraId="2028AADC" w14:textId="77777777" w:rsidTr="00213F29">
        <w:tc>
          <w:tcPr>
            <w:tcW w:w="9322" w:type="dxa"/>
            <w:gridSpan w:val="3"/>
            <w:shd w:val="clear" w:color="auto" w:fill="FFFFFF" w:themeFill="background1"/>
          </w:tcPr>
          <w:p w14:paraId="0F837D7F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42721973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 xml:space="preserve">Incidence: The estimated TB incidence (per 100,000 </w:t>
            </w:r>
            <w:proofErr w:type="gramStart"/>
            <w:r w:rsidRPr="005C347E">
              <w:rPr>
                <w:rFonts w:ascii="Aparajita" w:hAnsi="Aparajita" w:cs="Aparajita"/>
                <w:sz w:val="20"/>
                <w:szCs w:val="20"/>
              </w:rPr>
              <w:t>population</w:t>
            </w:r>
            <w:proofErr w:type="gramEnd"/>
            <w:r w:rsidRPr="005C347E">
              <w:rPr>
                <w:rFonts w:ascii="Aparajita" w:hAnsi="Aparajita" w:cs="Aparajita"/>
                <w:sz w:val="20"/>
                <w:szCs w:val="20"/>
              </w:rPr>
              <w:t xml:space="preserve">) rose rapidly in the 90s from 79 in 1990 to 403 in 1998, following the breakdown of the soviet republic. Since then there has been over 68% decline in TB incidence, and currently stands at 129 or 21,000 new </w:t>
            </w:r>
            <w:r w:rsidRPr="005C347E">
              <w:rPr>
                <w:rFonts w:ascii="Aparajita" w:hAnsi="Aparajita" w:cs="Aparajita"/>
                <w:sz w:val="20"/>
                <w:szCs w:val="20"/>
              </w:rPr>
              <w:lastRenderedPageBreak/>
              <w:t xml:space="preserve">infections annually. </w:t>
            </w:r>
          </w:p>
          <w:p w14:paraId="2E471FFA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79A2936E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>The TB case notification did not increase at the same rate as incidence in the 90s, but saw sizeable improvements in early and mid-2000, followed by decline aligned to trends in incidence. The CDR of all forms of TB was 92% in 2011.</w:t>
            </w:r>
          </w:p>
          <w:p w14:paraId="6CFEEC74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0AC203F9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>Prevalence: As with incidence, prevalence saw a peak in 1998-99 (819) followed by 79% decline to 167 in 2011.</w:t>
            </w:r>
          </w:p>
          <w:p w14:paraId="501F153D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537E9E53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 xml:space="preserve">Mortality: TB accounts for 2200 deaths annually (14 per 100,000 </w:t>
            </w:r>
            <w:proofErr w:type="gramStart"/>
            <w:r w:rsidRPr="005C347E">
              <w:rPr>
                <w:rFonts w:ascii="Aparajita" w:hAnsi="Aparajita" w:cs="Aparajita"/>
                <w:sz w:val="20"/>
                <w:szCs w:val="20"/>
              </w:rPr>
              <w:t>population</w:t>
            </w:r>
            <w:proofErr w:type="gramEnd"/>
            <w:r w:rsidRPr="005C347E">
              <w:rPr>
                <w:rFonts w:ascii="Aparajita" w:hAnsi="Aparajita" w:cs="Aparajita"/>
                <w:sz w:val="20"/>
                <w:szCs w:val="20"/>
              </w:rPr>
              <w:t>) and is rapidly declining.</w:t>
            </w:r>
          </w:p>
          <w:p w14:paraId="3B8CB5D6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</w:tc>
      </w:tr>
    </w:tbl>
    <w:p w14:paraId="2CC0CDD9" w14:textId="77777777" w:rsidR="005C347E" w:rsidRDefault="005C347E" w:rsidP="005C347E"/>
    <w:p w14:paraId="25EC66D8" w14:textId="77777777" w:rsidR="005C347E" w:rsidRPr="005C347E" w:rsidRDefault="005C347E" w:rsidP="005C347E"/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5C347E" w:rsidRPr="005C347E" w14:paraId="22D7241A" w14:textId="77777777" w:rsidTr="00213F29">
        <w:tc>
          <w:tcPr>
            <w:tcW w:w="9322" w:type="dxa"/>
            <w:gridSpan w:val="3"/>
            <w:shd w:val="clear" w:color="auto" w:fill="C6D9F1" w:themeFill="text2" w:themeFillTint="33"/>
          </w:tcPr>
          <w:p w14:paraId="7BA5CDDA" w14:textId="77777777" w:rsidR="005C347E" w:rsidRPr="005C347E" w:rsidRDefault="005C347E" w:rsidP="00213F29">
            <w:pPr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</w:pPr>
            <w:r w:rsidRPr="005C347E"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  <w:t xml:space="preserve">2.2 Outcome &amp; services quality </w:t>
            </w:r>
            <w:r w:rsidRPr="005C347E">
              <w:rPr>
                <w:rFonts w:ascii="Adobe Fangsong Std R" w:eastAsia="Adobe Fangsong Std R" w:hAnsi="Adobe Fangsong Std R" w:cs="Aparajita"/>
                <w:sz w:val="16"/>
                <w:szCs w:val="16"/>
              </w:rPr>
              <w:t>(Has there been an improvement in outcome of the key intervention services?)</w:t>
            </w:r>
          </w:p>
        </w:tc>
      </w:tr>
      <w:tr w:rsidR="005C347E" w:rsidRPr="005C347E" w14:paraId="4FC1A5AC" w14:textId="77777777" w:rsidTr="00213F29">
        <w:tc>
          <w:tcPr>
            <w:tcW w:w="3107" w:type="dxa"/>
            <w:shd w:val="clear" w:color="auto" w:fill="FFFFFF" w:themeFill="background1"/>
          </w:tcPr>
          <w:p w14:paraId="3290AF52" w14:textId="77777777" w:rsidR="005C347E" w:rsidRPr="005C347E" w:rsidRDefault="005C347E" w:rsidP="00213F29">
            <w:pPr>
              <w:rPr>
                <w:rFonts w:ascii="Aparajita" w:hAnsi="Aparajita" w:cs="Aparajita"/>
                <w:b/>
                <w:sz w:val="18"/>
                <w:szCs w:val="18"/>
              </w:rPr>
            </w:pPr>
            <w:r w:rsidRPr="005C347E">
              <w:rPr>
                <w:rFonts w:ascii="Aparajita" w:hAnsi="Aparajita" w:cs="Aparajita"/>
                <w:b/>
                <w:sz w:val="18"/>
                <w:szCs w:val="18"/>
              </w:rPr>
              <w:t>TB case notification by type</w:t>
            </w:r>
          </w:p>
          <w:p w14:paraId="73A2A744" w14:textId="77777777" w:rsidR="005C347E" w:rsidRPr="005C347E" w:rsidRDefault="005C347E" w:rsidP="00213F29">
            <w:pPr>
              <w:jc w:val="center"/>
              <w:rPr>
                <w:rFonts w:ascii="Aparajita" w:hAnsi="Aparajita" w:cs="Aparajita"/>
                <w:sz w:val="18"/>
                <w:szCs w:val="18"/>
              </w:rPr>
            </w:pPr>
          </w:p>
          <w:p w14:paraId="41F7CAAC" w14:textId="77777777" w:rsidR="005C347E" w:rsidRPr="005C347E" w:rsidRDefault="005C347E" w:rsidP="00213F29">
            <w:pPr>
              <w:rPr>
                <w:rFonts w:ascii="Aparajita" w:hAnsi="Aparajita" w:cs="Aparajita"/>
                <w:sz w:val="18"/>
                <w:szCs w:val="18"/>
              </w:rPr>
            </w:pPr>
            <w:r w:rsidRPr="005C347E">
              <w:rPr>
                <w:rFonts w:ascii="Aparajita" w:hAnsi="Aparajita" w:cs="Aparajit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AA3C00A" wp14:editId="270B2636">
                  <wp:extent cx="1821485" cy="2168647"/>
                  <wp:effectExtent l="0" t="0" r="762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776" cy="217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shd w:val="clear" w:color="auto" w:fill="FFFFFF" w:themeFill="background1"/>
          </w:tcPr>
          <w:p w14:paraId="5A2702C6" w14:textId="77777777" w:rsidR="005C347E" w:rsidRPr="005C347E" w:rsidRDefault="005C347E" w:rsidP="00213F29">
            <w:pPr>
              <w:rPr>
                <w:rFonts w:ascii="Aparajita" w:hAnsi="Aparajita" w:cs="Aparajita"/>
                <w:b/>
                <w:sz w:val="18"/>
                <w:szCs w:val="18"/>
              </w:rPr>
            </w:pPr>
            <w:r w:rsidRPr="005C347E">
              <w:rPr>
                <w:rFonts w:ascii="Aparajita" w:hAnsi="Aparajita" w:cs="Aparajita"/>
                <w:b/>
                <w:sz w:val="18"/>
                <w:szCs w:val="18"/>
              </w:rPr>
              <w:t>New smear-positive treatment outcomes</w:t>
            </w:r>
          </w:p>
          <w:p w14:paraId="25A23B0D" w14:textId="77777777" w:rsidR="005C347E" w:rsidRPr="005C347E" w:rsidRDefault="005C347E" w:rsidP="00213F29">
            <w:pPr>
              <w:rPr>
                <w:rFonts w:ascii="Aparajita" w:hAnsi="Aparajita" w:cs="Aparajita"/>
                <w:sz w:val="18"/>
                <w:szCs w:val="18"/>
              </w:rPr>
            </w:pPr>
            <w:r w:rsidRPr="005C347E">
              <w:rPr>
                <w:rFonts w:ascii="Aparajita" w:hAnsi="Aparajita" w:cs="Aparajit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1C5B2A4" wp14:editId="4863334A">
                  <wp:extent cx="1850394" cy="194584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165" cy="1945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shd w:val="clear" w:color="auto" w:fill="FFFFFF" w:themeFill="background1"/>
          </w:tcPr>
          <w:p w14:paraId="5BC02262" w14:textId="77777777" w:rsidR="005C347E" w:rsidRPr="005C347E" w:rsidRDefault="005C347E" w:rsidP="00213F29">
            <w:pPr>
              <w:rPr>
                <w:rFonts w:ascii="Aparajita" w:hAnsi="Aparajita" w:cs="Aparajita"/>
                <w:b/>
                <w:sz w:val="18"/>
                <w:szCs w:val="18"/>
              </w:rPr>
            </w:pPr>
            <w:r w:rsidRPr="005C347E">
              <w:rPr>
                <w:rFonts w:ascii="Aparajita" w:hAnsi="Aparajita" w:cs="Aparajita"/>
                <w:b/>
                <w:sz w:val="18"/>
                <w:szCs w:val="18"/>
              </w:rPr>
              <w:t>Treatment success rate by case type (%)</w:t>
            </w:r>
          </w:p>
          <w:p w14:paraId="74F4006F" w14:textId="77777777" w:rsidR="005C347E" w:rsidRPr="005C347E" w:rsidRDefault="005C347E" w:rsidP="00213F29">
            <w:pPr>
              <w:rPr>
                <w:rFonts w:ascii="Aparajita" w:hAnsi="Aparajita" w:cs="Aparajita"/>
                <w:sz w:val="18"/>
                <w:szCs w:val="18"/>
              </w:rPr>
            </w:pPr>
            <w:r w:rsidRPr="005C347E">
              <w:rPr>
                <w:rFonts w:ascii="Aparajita" w:hAnsi="Aparajita" w:cs="Aparajit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0B38583" wp14:editId="2215AE16">
                  <wp:extent cx="1843430" cy="2275164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3" cy="2280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47E" w:rsidRPr="005C347E" w14:paraId="0A76ADA7" w14:textId="77777777" w:rsidTr="00213F29">
        <w:tc>
          <w:tcPr>
            <w:tcW w:w="9322" w:type="dxa"/>
            <w:gridSpan w:val="3"/>
            <w:shd w:val="clear" w:color="auto" w:fill="FFFFFF" w:themeFill="background1"/>
          </w:tcPr>
          <w:p w14:paraId="52FDA15B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67241325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 xml:space="preserve">Case notification: TB case notification peaked in early 2000, following the increase in incidence in the 1990s. This phase has been followed by steady decline in notification rates and in 2011 </w:t>
            </w:r>
            <w:proofErr w:type="gramStart"/>
            <w:r w:rsidRPr="005C347E">
              <w:rPr>
                <w:rFonts w:ascii="Aparajita" w:hAnsi="Aparajita" w:cs="Aparajita"/>
                <w:sz w:val="20"/>
                <w:szCs w:val="20"/>
              </w:rPr>
              <w:t>was</w:t>
            </w:r>
            <w:proofErr w:type="gramEnd"/>
            <w:r w:rsidRPr="005C347E">
              <w:rPr>
                <w:rFonts w:ascii="Aparajita" w:hAnsi="Aparajita" w:cs="Aparajita"/>
                <w:sz w:val="20"/>
                <w:szCs w:val="20"/>
              </w:rPr>
              <w:t xml:space="preserve"> 112.6 per 100,000 population (92% of estimated incidence).  86% of the notified cases were pulmonary and 14% extra-pulmonary. Among new pulmonary cases, only 35% were smear-positive, and rest classified as smear negative. Male to female ratio was 1.2 (1.6 for NSP, 1.1 for NSN and 0.6 for EP TB), and </w:t>
            </w:r>
            <w:proofErr w:type="spellStart"/>
            <w:r w:rsidRPr="005C347E">
              <w:rPr>
                <w:rFonts w:ascii="Aparajita" w:hAnsi="Aparajita" w:cs="Aparajita"/>
                <w:sz w:val="20"/>
                <w:szCs w:val="20"/>
              </w:rPr>
              <w:t>pediatric</w:t>
            </w:r>
            <w:proofErr w:type="spellEnd"/>
            <w:r w:rsidRPr="005C347E">
              <w:rPr>
                <w:rFonts w:ascii="Aparajita" w:hAnsi="Aparajita" w:cs="Aparajita"/>
                <w:sz w:val="20"/>
                <w:szCs w:val="20"/>
              </w:rPr>
              <w:t xml:space="preserve"> TB accounted for just 0.5% of notified NSP cases.</w:t>
            </w:r>
          </w:p>
          <w:p w14:paraId="6DFF72A4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7BDDF59C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>New smear-positive treatment outcomes: Smear positive treatment success rate is low at 61%, and is primarily due to high MDR-TB prevalence. Failure rate was around 7%, default and death rates are less than 5%; 27% of cases were categorized as not evaluated for 2010 cohort (2% in 2009 and 2008). Treatment success rate among TB/HIV co-infected was even lower - 35% for HIV+ new smear positive TB and 54% among HIV positive smear negative or extra-pulmonary cases. Treatment success rate among MDR cases was 73% with deaths and failures accounting for 7% each and defaults 5%.</w:t>
            </w:r>
          </w:p>
          <w:p w14:paraId="0D24616E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  <w:p w14:paraId="47BA60E6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>Other case types treatment outcomes: Treatment outcome among smear negative/EPTB was high at 85%, but was 47% for  retreatment cases which could be partly due to high rates of MDR (505 among previously treated)</w:t>
            </w:r>
          </w:p>
          <w:p w14:paraId="54242A46" w14:textId="77777777" w:rsidR="005C347E" w:rsidRPr="005C347E" w:rsidRDefault="005C347E" w:rsidP="00213F29">
            <w:pPr>
              <w:rPr>
                <w:rFonts w:ascii="Aparajita" w:hAnsi="Aparajita" w:cs="Aparajita"/>
                <w:sz w:val="20"/>
                <w:szCs w:val="20"/>
              </w:rPr>
            </w:pPr>
          </w:p>
        </w:tc>
      </w:tr>
      <w:tr w:rsidR="005C347E" w:rsidRPr="005C347E" w14:paraId="7A66574F" w14:textId="77777777" w:rsidTr="00213F29">
        <w:tc>
          <w:tcPr>
            <w:tcW w:w="9322" w:type="dxa"/>
            <w:gridSpan w:val="3"/>
            <w:shd w:val="clear" w:color="auto" w:fill="C6D9F1" w:themeFill="text2" w:themeFillTint="33"/>
          </w:tcPr>
          <w:p w14:paraId="05F09A91" w14:textId="77777777" w:rsidR="005C347E" w:rsidRPr="005C347E" w:rsidRDefault="005C347E" w:rsidP="00213F29">
            <w:pPr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</w:pPr>
            <w:r w:rsidRPr="005C347E"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  <w:t>2.3 Service coverage</w:t>
            </w:r>
            <w:r w:rsidRPr="005C347E">
              <w:rPr>
                <w:rFonts w:ascii="Adobe Fangsong Std R" w:eastAsia="Adobe Fangsong Std R" w:hAnsi="Adobe Fangsong Std R" w:cs="Aparajita"/>
                <w:sz w:val="16"/>
                <w:szCs w:val="16"/>
              </w:rPr>
              <w:t xml:space="preserve"> (Has there been an increase in coverage of key intervention services including reaching high risk groups?)</w:t>
            </w:r>
          </w:p>
        </w:tc>
      </w:tr>
      <w:tr w:rsidR="005C347E" w:rsidRPr="005C347E" w14:paraId="354864AE" w14:textId="77777777" w:rsidTr="00213F29">
        <w:tc>
          <w:tcPr>
            <w:tcW w:w="3107" w:type="dxa"/>
            <w:shd w:val="clear" w:color="auto" w:fill="FFFFFF" w:themeFill="background1"/>
          </w:tcPr>
          <w:p w14:paraId="4330591A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b/>
                <w:sz w:val="18"/>
                <w:szCs w:val="18"/>
              </w:rPr>
            </w:pPr>
          </w:p>
          <w:p w14:paraId="30D70766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C347E">
              <w:rPr>
                <w:rFonts w:ascii="Aparajita" w:hAnsi="Aparajita" w:cs="Aparajita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C43E03" wp14:editId="678BBF85">
                  <wp:extent cx="1846736" cy="1697126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987" cy="1697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shd w:val="clear" w:color="auto" w:fill="FFFFFF" w:themeFill="background1"/>
          </w:tcPr>
          <w:p w14:paraId="44439C6F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b/>
                <w:sz w:val="18"/>
                <w:szCs w:val="18"/>
              </w:rPr>
            </w:pPr>
          </w:p>
          <w:p w14:paraId="70D539FE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C347E">
              <w:rPr>
                <w:rFonts w:ascii="Aparajita" w:hAnsi="Aparajita" w:cs="Aparajita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3F47A0" wp14:editId="51ABBE0F">
                  <wp:extent cx="1862683" cy="1543508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659" cy="154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shd w:val="clear" w:color="auto" w:fill="FFFFFF" w:themeFill="background1"/>
          </w:tcPr>
          <w:p w14:paraId="3F1EC627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b/>
                <w:sz w:val="18"/>
                <w:szCs w:val="18"/>
              </w:rPr>
            </w:pPr>
          </w:p>
          <w:p w14:paraId="1AA489D5" w14:textId="77777777" w:rsidR="005C347E" w:rsidRPr="005C347E" w:rsidRDefault="005C347E" w:rsidP="00213F29">
            <w:pPr>
              <w:pStyle w:val="ListParagraph"/>
              <w:ind w:left="0"/>
              <w:jc w:val="center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C347E">
              <w:rPr>
                <w:rFonts w:ascii="Aparajita" w:hAnsi="Aparajita" w:cs="Aparajita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4A725BB" wp14:editId="5B5F606E">
                  <wp:extent cx="1745714" cy="1664104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586" cy="1668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47E" w:rsidRPr="005C347E" w14:paraId="3B3C82B1" w14:textId="77777777" w:rsidTr="00213F29">
        <w:tc>
          <w:tcPr>
            <w:tcW w:w="9322" w:type="dxa"/>
            <w:gridSpan w:val="3"/>
            <w:shd w:val="clear" w:color="auto" w:fill="FFFFFF" w:themeFill="background1"/>
          </w:tcPr>
          <w:p w14:paraId="354B38CF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sz w:val="20"/>
                <w:szCs w:val="20"/>
              </w:rPr>
            </w:pPr>
          </w:p>
          <w:p w14:paraId="21CF2F9F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>Case detection rate: In 2011, the case detection rate is estimated at 92% and been steadily increasing - indicating that majority of incident TB cases are being notified through the national TB surveillance system, irrespective of point of care.</w:t>
            </w:r>
          </w:p>
          <w:p w14:paraId="2462B91C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sz w:val="20"/>
                <w:szCs w:val="20"/>
              </w:rPr>
            </w:pPr>
          </w:p>
          <w:p w14:paraId="7A64328C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 xml:space="preserve">TB/HIV: Although the country has a concentrated HIV epidemic, over 85% of TB cases were tested for HIV, when only 2% were found to be HIV positive. However, among the co-infected only 20% were initiated on CPT and less than 10% on ART. </w:t>
            </w:r>
          </w:p>
          <w:p w14:paraId="70F41AB8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sz w:val="20"/>
                <w:szCs w:val="20"/>
              </w:rPr>
            </w:pPr>
          </w:p>
          <w:p w14:paraId="5FB1FA68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sz w:val="20"/>
                <w:szCs w:val="20"/>
              </w:rPr>
            </w:pPr>
            <w:r w:rsidRPr="005C347E">
              <w:rPr>
                <w:rFonts w:ascii="Aparajita" w:hAnsi="Aparajita" w:cs="Aparajita"/>
                <w:sz w:val="20"/>
                <w:szCs w:val="20"/>
              </w:rPr>
              <w:t>MDR-TB: 83% of new and 80% of retreatment bacteriologically confirmed cases have been tested for MDR-TB. Of the confirmed MDR-TB cases 63% have been initiated second-line treatment. Treatment success rate among MDR cases for 2009 cohort was 73% with deaths and failures accounting for 7% each and defaults 5%.</w:t>
            </w:r>
          </w:p>
          <w:p w14:paraId="49E04178" w14:textId="77777777" w:rsidR="005C347E" w:rsidRPr="005C347E" w:rsidRDefault="005C347E" w:rsidP="00213F29">
            <w:pPr>
              <w:pStyle w:val="ListParagraph"/>
              <w:ind w:left="0"/>
              <w:rPr>
                <w:rFonts w:ascii="Aparajita" w:hAnsi="Aparajita" w:cs="Aparajita"/>
                <w:sz w:val="18"/>
                <w:szCs w:val="18"/>
              </w:rPr>
            </w:pPr>
          </w:p>
        </w:tc>
      </w:tr>
      <w:tr w:rsidR="005C347E" w:rsidRPr="005C347E" w14:paraId="7E471B4C" w14:textId="77777777" w:rsidTr="00213F29">
        <w:tblPrEx>
          <w:tblBorders>
            <w:insideV w:val="none" w:sz="0" w:space="0" w:color="auto"/>
          </w:tblBorders>
        </w:tblPrEx>
        <w:tc>
          <w:tcPr>
            <w:tcW w:w="9322" w:type="dxa"/>
            <w:gridSpan w:val="3"/>
            <w:shd w:val="clear" w:color="auto" w:fill="C6D9F1" w:themeFill="text2" w:themeFillTint="33"/>
          </w:tcPr>
          <w:p w14:paraId="1B6EA1EF" w14:textId="77777777" w:rsidR="005C347E" w:rsidRPr="005C347E" w:rsidRDefault="005C347E" w:rsidP="00213F29">
            <w:pPr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</w:pPr>
            <w:r w:rsidRPr="005C347E"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  <w:t>2.4 Resources</w:t>
            </w:r>
            <w:r w:rsidRPr="005C347E">
              <w:rPr>
                <w:rFonts w:ascii="Adobe Fangsong Std R" w:eastAsia="Adobe Fangsong Std R" w:hAnsi="Adobe Fangsong Std R" w:cs="Aparajita"/>
                <w:sz w:val="16"/>
                <w:szCs w:val="16"/>
              </w:rPr>
              <w:t xml:space="preserve"> : Government and partners contributions and resource gaps</w:t>
            </w:r>
          </w:p>
        </w:tc>
      </w:tr>
    </w:tbl>
    <w:p w14:paraId="08EF2BC6" w14:textId="77777777" w:rsidR="005C347E" w:rsidRPr="005C347E" w:rsidRDefault="005C347E" w:rsidP="005C347E">
      <w:pPr>
        <w:rPr>
          <w:rFonts w:ascii="Trebuchet MS" w:hAnsi="Trebuchet MS"/>
          <w:b/>
        </w:rPr>
      </w:pPr>
    </w:p>
    <w:p w14:paraId="5A6EF377" w14:textId="77777777" w:rsidR="005C347E" w:rsidRPr="005C347E" w:rsidRDefault="005C347E" w:rsidP="005C347E">
      <w:pPr>
        <w:rPr>
          <w:rFonts w:ascii="Trebuchet MS" w:hAnsi="Trebuchet MS"/>
          <w:b/>
        </w:rPr>
      </w:pPr>
      <w:r w:rsidRPr="005C347E">
        <w:rPr>
          <w:rFonts w:ascii="Trebuchet MS" w:hAnsi="Trebuchet MS"/>
          <w:b/>
        </w:rPr>
        <w:t>Available Trends in Program Financing</w:t>
      </w:r>
    </w:p>
    <w:p w14:paraId="6D7F0055" w14:textId="77777777" w:rsidR="005C347E" w:rsidRPr="005C347E" w:rsidRDefault="005C347E" w:rsidP="005C347E">
      <w:pPr>
        <w:spacing w:before="120"/>
        <w:rPr>
          <w:rFonts w:ascii="Trebuchet MS" w:hAnsi="Trebuchet MS"/>
          <w:sz w:val="18"/>
        </w:rPr>
      </w:pPr>
      <w:r w:rsidRPr="005C347E">
        <w:rPr>
          <w:noProof/>
          <w:lang w:eastAsia="en-GB"/>
        </w:rPr>
        <w:drawing>
          <wp:inline distT="0" distB="0" distL="0" distR="0" wp14:anchorId="75035292" wp14:editId="1B83997C">
            <wp:extent cx="4969510" cy="88265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CB07E" w14:textId="77777777" w:rsidR="005C347E" w:rsidRPr="005C347E" w:rsidRDefault="005C347E" w:rsidP="005C347E">
      <w:pPr>
        <w:spacing w:before="120"/>
        <w:rPr>
          <w:rFonts w:ascii="Trebuchet MS" w:hAnsi="Trebuchet MS"/>
          <w:sz w:val="18"/>
        </w:rPr>
      </w:pPr>
      <w:r w:rsidRPr="005C347E">
        <w:rPr>
          <w:rFonts w:ascii="Trebuchet MS" w:hAnsi="Trebuchet MS"/>
          <w:sz w:val="18"/>
        </w:rPr>
        <w:t>Source: OECD, WHO TB review, CCM</w:t>
      </w:r>
    </w:p>
    <w:p w14:paraId="7F4BB619" w14:textId="77777777" w:rsidR="005C347E" w:rsidRPr="005C347E" w:rsidRDefault="005C347E" w:rsidP="005C347E">
      <w:pPr>
        <w:spacing w:before="120"/>
        <w:rPr>
          <w:rFonts w:ascii="Trebuchet MS" w:hAnsi="Trebuchet MS"/>
          <w:sz w:val="18"/>
        </w:rPr>
      </w:pPr>
      <w:r w:rsidRPr="005C347E">
        <w:rPr>
          <w:rFonts w:ascii="Trebuchet MS" w:hAnsi="Trebuchet MS"/>
          <w:noProof/>
          <w:sz w:val="18"/>
          <w:lang w:eastAsia="en-GB"/>
        </w:rPr>
        <w:drawing>
          <wp:inline distT="0" distB="0" distL="0" distR="0" wp14:anchorId="22A3F9D9" wp14:editId="07B4BE78">
            <wp:extent cx="4580255" cy="270319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5E59B" w14:textId="77777777" w:rsidR="005C347E" w:rsidRPr="005C347E" w:rsidRDefault="005C347E" w:rsidP="005C347E"/>
    <w:p w14:paraId="0F961CD7" w14:textId="77777777" w:rsidR="005C347E" w:rsidRPr="005C347E" w:rsidRDefault="005C347E" w:rsidP="005C347E"/>
    <w:tbl>
      <w:tblPr>
        <w:tblStyle w:val="TableGrid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2"/>
      </w:tblGrid>
      <w:tr w:rsidR="005C347E" w:rsidRPr="005C347E" w14:paraId="193D5C89" w14:textId="77777777" w:rsidTr="00213F29">
        <w:tc>
          <w:tcPr>
            <w:tcW w:w="9242" w:type="dxa"/>
            <w:shd w:val="clear" w:color="auto" w:fill="C6D9F1" w:themeFill="text2" w:themeFillTint="33"/>
          </w:tcPr>
          <w:p w14:paraId="0CDD1A0F" w14:textId="77777777" w:rsidR="005C347E" w:rsidRPr="005C347E" w:rsidRDefault="005C347E" w:rsidP="00213F29">
            <w:pPr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</w:pPr>
            <w:r w:rsidRPr="005C347E">
              <w:lastRenderedPageBreak/>
              <w:br w:type="page"/>
            </w:r>
            <w:r w:rsidRPr="005C347E">
              <w:br w:type="page"/>
            </w:r>
            <w:r w:rsidRPr="005C347E">
              <w:rPr>
                <w:rFonts w:ascii="Adobe Fangsong Std R" w:eastAsia="Adobe Fangsong Std R" w:hAnsi="Adobe Fangsong Std R" w:cs="Aparajita"/>
                <w:b/>
                <w:sz w:val="20"/>
                <w:szCs w:val="20"/>
              </w:rPr>
              <w:t xml:space="preserve">3. Comparison with other countries and Global targets </w:t>
            </w:r>
            <w:r w:rsidRPr="005C347E">
              <w:rPr>
                <w:rFonts w:ascii="Adobe Fangsong Std R" w:eastAsia="Adobe Fangsong Std R" w:hAnsi="Adobe Fangsong Std R" w:cs="Aparajita"/>
                <w:sz w:val="16"/>
                <w:szCs w:val="16"/>
              </w:rPr>
              <w:t>[How does the country compare with other countries AELAC-EECA Region and Global targets on key areas of the TB program?</w:t>
            </w:r>
          </w:p>
        </w:tc>
      </w:tr>
    </w:tbl>
    <w:p w14:paraId="6213B841" w14:textId="77777777" w:rsidR="005C347E" w:rsidRPr="005C347E" w:rsidRDefault="005C347E" w:rsidP="005C347E"/>
    <w:p w14:paraId="29907034" w14:textId="77777777" w:rsidR="005C347E" w:rsidRPr="005C347E" w:rsidRDefault="005C347E" w:rsidP="005C347E">
      <w:pPr>
        <w:pStyle w:val="ListParagraph"/>
        <w:ind w:left="0"/>
        <w:rPr>
          <w:rFonts w:ascii="Aparajita" w:hAnsi="Aparajita" w:cs="Aparajita"/>
          <w:sz w:val="20"/>
          <w:szCs w:val="20"/>
        </w:rPr>
      </w:pPr>
      <w:r w:rsidRPr="005C347E">
        <w:rPr>
          <w:rFonts w:ascii="Aparajita" w:hAnsi="Aparajita" w:cs="Aparajita"/>
          <w:sz w:val="20"/>
          <w:szCs w:val="20"/>
        </w:rPr>
        <w:t>As compared to Global targets and countries in AELAC-EECA regions, Kazakhstan is performing well on case detection  (92%, all forms) and HIV testing among notified TB cases (85%). Area that require specific attention for include: improving treatment success rate (currently at 61%), enrolling TB/HIV co-infected patients on ART (currently only at 9%), and enrolling MDR-TB diagnosed patients on treatment (currently at 63%).</w:t>
      </w:r>
    </w:p>
    <w:p w14:paraId="252D4585" w14:textId="77777777" w:rsidR="005C347E" w:rsidRPr="005C347E" w:rsidRDefault="005C347E" w:rsidP="005C347E">
      <w:pPr>
        <w:pStyle w:val="ListParagraph"/>
        <w:ind w:left="0"/>
        <w:rPr>
          <w:rFonts w:ascii="Aparajita" w:hAnsi="Aparajita" w:cs="Aparajita"/>
          <w:sz w:val="20"/>
          <w:szCs w:val="20"/>
        </w:rPr>
      </w:pPr>
    </w:p>
    <w:p w14:paraId="54D0D5DC" w14:textId="77777777" w:rsidR="005C347E" w:rsidRPr="005C347E" w:rsidRDefault="005C347E" w:rsidP="005C347E">
      <w:r w:rsidRPr="005C347E">
        <w:rPr>
          <w:noProof/>
          <w:lang w:eastAsia="en-GB"/>
        </w:rPr>
        <w:drawing>
          <wp:inline distT="0" distB="0" distL="0" distR="0" wp14:anchorId="3BFBC3C2" wp14:editId="4491ABDD">
            <wp:extent cx="5812403" cy="3729162"/>
            <wp:effectExtent l="0" t="0" r="17145" b="241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AA92AE4" w14:textId="77777777" w:rsidR="005C347E" w:rsidRPr="005C347E" w:rsidRDefault="005C347E" w:rsidP="005C347E"/>
    <w:p w14:paraId="76DF6216" w14:textId="77777777" w:rsidR="005C347E" w:rsidRPr="005C347E" w:rsidRDefault="005C347E" w:rsidP="005C347E"/>
    <w:p w14:paraId="72C2F075" w14:textId="77777777" w:rsidR="005C347E" w:rsidRPr="005C347E" w:rsidRDefault="005C347E" w:rsidP="005C347E"/>
    <w:p w14:paraId="3B8FAC1E" w14:textId="77777777" w:rsidR="005C347E" w:rsidRPr="005C347E" w:rsidRDefault="005C347E" w:rsidP="005C347E">
      <w:r w:rsidRPr="005C347E">
        <w:rPr>
          <w:noProof/>
          <w:lang w:eastAsia="en-GB"/>
        </w:rPr>
        <w:lastRenderedPageBreak/>
        <w:drawing>
          <wp:inline distT="0" distB="0" distL="0" distR="0" wp14:anchorId="237B1494" wp14:editId="43D13CB2">
            <wp:extent cx="5731510" cy="3947149"/>
            <wp:effectExtent l="0" t="0" r="21590" b="1587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1CADF3B" w14:textId="77777777" w:rsidR="005C347E" w:rsidRPr="005C347E" w:rsidRDefault="005C347E" w:rsidP="005C347E"/>
    <w:p w14:paraId="2EE2963A" w14:textId="77777777" w:rsidR="005C347E" w:rsidRPr="005C347E" w:rsidRDefault="005C347E" w:rsidP="005C347E">
      <w:r w:rsidRPr="005C347E">
        <w:rPr>
          <w:noProof/>
          <w:lang w:eastAsia="en-GB"/>
        </w:rPr>
        <w:drawing>
          <wp:inline distT="0" distB="0" distL="0" distR="0" wp14:anchorId="4D1244B7" wp14:editId="50E30855">
            <wp:extent cx="5731510" cy="3598727"/>
            <wp:effectExtent l="0" t="0" r="21590" b="2095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5AA06F6" w14:textId="77777777" w:rsidR="005C347E" w:rsidRPr="005C347E" w:rsidRDefault="005C347E" w:rsidP="005C347E"/>
    <w:p w14:paraId="26D9E7AE" w14:textId="77777777" w:rsidR="005C347E" w:rsidRPr="005C347E" w:rsidRDefault="005C347E" w:rsidP="005C347E"/>
    <w:p w14:paraId="1099CFA9" w14:textId="77777777" w:rsidR="005C347E" w:rsidRPr="005C347E" w:rsidRDefault="005C347E" w:rsidP="005C347E">
      <w:r w:rsidRPr="005C347E">
        <w:rPr>
          <w:noProof/>
          <w:lang w:eastAsia="en-GB"/>
        </w:rPr>
        <w:lastRenderedPageBreak/>
        <w:drawing>
          <wp:inline distT="0" distB="0" distL="0" distR="0" wp14:anchorId="30C37547" wp14:editId="5576FACF">
            <wp:extent cx="5731510" cy="3339094"/>
            <wp:effectExtent l="0" t="0" r="21590" b="1397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7C0CA6C" w14:textId="77777777" w:rsidR="005C347E" w:rsidRPr="005C347E" w:rsidRDefault="005C347E" w:rsidP="00213F29">
      <w:pPr>
        <w:rPr>
          <w:rFonts w:eastAsia="Adobe Fangsong Std R" w:cs="Aparajita"/>
          <w:b/>
          <w:sz w:val="20"/>
          <w:szCs w:val="20"/>
        </w:rPr>
      </w:pPr>
    </w:p>
    <w:p w14:paraId="4A227736" w14:textId="77777777" w:rsidR="005C347E" w:rsidRPr="005C347E" w:rsidRDefault="005C347E" w:rsidP="006D0C79">
      <w:pPr>
        <w:jc w:val="center"/>
        <w:rPr>
          <w:rFonts w:eastAsia="Adobe Fangsong Std R" w:cs="Aparajita"/>
          <w:b/>
          <w:sz w:val="20"/>
          <w:szCs w:val="20"/>
        </w:rPr>
      </w:pPr>
    </w:p>
    <w:p w14:paraId="274434A0" w14:textId="307B6070" w:rsidR="005C347E" w:rsidRPr="00F109F7" w:rsidRDefault="005C347E" w:rsidP="006D0C79">
      <w:pPr>
        <w:jc w:val="center"/>
        <w:rPr>
          <w:rFonts w:eastAsia="Adobe Fangsong Std R" w:cs="Aparajita"/>
          <w:b/>
          <w:color w:val="000000" w:themeColor="text1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82F8620" wp14:editId="22394082">
            <wp:extent cx="5731510" cy="3220913"/>
            <wp:effectExtent l="0" t="0" r="21590" b="1778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sectPr w:rsidR="005C347E" w:rsidRPr="00F109F7" w:rsidSect="000B3F2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A3161" w14:textId="77777777" w:rsidR="00213F29" w:rsidRDefault="00213F29" w:rsidP="00274ED0">
      <w:r>
        <w:separator/>
      </w:r>
    </w:p>
  </w:endnote>
  <w:endnote w:type="continuationSeparator" w:id="0">
    <w:p w14:paraId="69E44301" w14:textId="77777777" w:rsidR="00213F29" w:rsidRDefault="00213F29" w:rsidP="00274ED0">
      <w:r>
        <w:continuationSeparator/>
      </w:r>
    </w:p>
  </w:endnote>
  <w:endnote w:type="continuationNotice" w:id="1">
    <w:p w14:paraId="62BCB907" w14:textId="77777777" w:rsidR="00213F29" w:rsidRDefault="00213F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3B94" w14:textId="77777777" w:rsidR="00213F29" w:rsidRDefault="00213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3B95" w14:textId="77777777" w:rsidR="00213F29" w:rsidRPr="00CD5002" w:rsidRDefault="00213F29" w:rsidP="00CD5002">
    <w:pPr>
      <w:pStyle w:val="Footer"/>
      <w:ind w:right="-1390"/>
    </w:pPr>
    <w:r>
      <w:rPr>
        <w:noProof/>
        <w:lang w:eastAsia="en-GB"/>
      </w:rPr>
      <w:drawing>
        <wp:inline distT="0" distB="0" distL="0" distR="0" wp14:anchorId="0A363B98" wp14:editId="0A363B99">
          <wp:extent cx="6768000" cy="18360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0" cy="1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3B97" w14:textId="77777777" w:rsidR="00213F29" w:rsidRPr="00A1327F" w:rsidRDefault="00213F29" w:rsidP="00FD1F5F">
    <w:pPr>
      <w:pStyle w:val="Footer"/>
      <w:ind w:right="-1390"/>
    </w:pPr>
    <w:r>
      <w:rPr>
        <w:noProof/>
        <w:lang w:eastAsia="en-GB"/>
      </w:rPr>
      <w:drawing>
        <wp:inline distT="0" distB="0" distL="0" distR="0" wp14:anchorId="0A363B9C" wp14:editId="0A363B9D">
          <wp:extent cx="6768000" cy="183600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0" cy="1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9099B" w14:textId="77777777" w:rsidR="00213F29" w:rsidRDefault="00213F29" w:rsidP="00274ED0">
      <w:r>
        <w:separator/>
      </w:r>
    </w:p>
  </w:footnote>
  <w:footnote w:type="continuationSeparator" w:id="0">
    <w:p w14:paraId="22597C2C" w14:textId="77777777" w:rsidR="00213F29" w:rsidRDefault="00213F29" w:rsidP="00274ED0">
      <w:r>
        <w:continuationSeparator/>
      </w:r>
    </w:p>
  </w:footnote>
  <w:footnote w:type="continuationNotice" w:id="1">
    <w:p w14:paraId="4E1046DF" w14:textId="77777777" w:rsidR="00213F29" w:rsidRDefault="00213F2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3B92" w14:textId="77777777" w:rsidR="00213F29" w:rsidRDefault="00213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3B93" w14:textId="77777777" w:rsidR="00213F29" w:rsidRPr="00E37B2C" w:rsidRDefault="00213F29" w:rsidP="00902DDD">
    <w:pPr>
      <w:pStyle w:val="Header"/>
    </w:pPr>
    <w:r w:rsidRPr="00E37B2C">
      <w:fldChar w:fldCharType="begin"/>
    </w:r>
    <w:r w:rsidRPr="00E37B2C">
      <w:instrText xml:space="preserve"> PAGE   \* MERGEFORMAT </w:instrText>
    </w:r>
    <w:r w:rsidRPr="00E37B2C">
      <w:fldChar w:fldCharType="separate"/>
    </w:r>
    <w:r w:rsidR="00350376">
      <w:rPr>
        <w:noProof/>
      </w:rPr>
      <w:t>1</w:t>
    </w:r>
    <w:r w:rsidRPr="00E37B2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3B96" w14:textId="77777777" w:rsidR="00213F29" w:rsidRPr="004202AB" w:rsidRDefault="00213F29" w:rsidP="00B74481">
    <w:pPr>
      <w:pStyle w:val="Header"/>
      <w:ind w:right="-1390"/>
    </w:pPr>
    <w:r>
      <w:rPr>
        <w:noProof/>
        <w:lang w:eastAsia="en-GB"/>
      </w:rPr>
      <w:drawing>
        <wp:inline distT="0" distB="0" distL="0" distR="0" wp14:anchorId="0A363B9A" wp14:editId="0A363B9B">
          <wp:extent cx="6772275" cy="1231200"/>
          <wp:effectExtent l="19050" t="0" r="952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275" cy="12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0A5"/>
    <w:multiLevelType w:val="hybridMultilevel"/>
    <w:tmpl w:val="A75289D4"/>
    <w:lvl w:ilvl="0" w:tplc="90C0C2A4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2A12"/>
    <w:multiLevelType w:val="hybridMultilevel"/>
    <w:tmpl w:val="E5AA4C9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B1BDA"/>
    <w:multiLevelType w:val="hybridMultilevel"/>
    <w:tmpl w:val="6DB424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2759A7"/>
    <w:multiLevelType w:val="hybridMultilevel"/>
    <w:tmpl w:val="1968E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23D7"/>
    <w:multiLevelType w:val="hybridMultilevel"/>
    <w:tmpl w:val="B6964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279EF"/>
    <w:multiLevelType w:val="hybridMultilevel"/>
    <w:tmpl w:val="72661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A7060"/>
    <w:multiLevelType w:val="hybridMultilevel"/>
    <w:tmpl w:val="DC403C9C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C434D1D"/>
    <w:multiLevelType w:val="hybridMultilevel"/>
    <w:tmpl w:val="A31E30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720B"/>
    <w:multiLevelType w:val="hybridMultilevel"/>
    <w:tmpl w:val="94946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702C9"/>
    <w:multiLevelType w:val="hybridMultilevel"/>
    <w:tmpl w:val="1B76E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03785A"/>
    <w:multiLevelType w:val="hybridMultilevel"/>
    <w:tmpl w:val="29F63FB4"/>
    <w:lvl w:ilvl="0" w:tplc="EEB438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78460B4"/>
    <w:multiLevelType w:val="hybridMultilevel"/>
    <w:tmpl w:val="1968E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C47E8"/>
    <w:multiLevelType w:val="hybridMultilevel"/>
    <w:tmpl w:val="95323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AC77FA"/>
    <w:multiLevelType w:val="hybridMultilevel"/>
    <w:tmpl w:val="EF508CD8"/>
    <w:lvl w:ilvl="0" w:tplc="2C8C42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4857FD"/>
    <w:multiLevelType w:val="hybridMultilevel"/>
    <w:tmpl w:val="9370953C"/>
    <w:lvl w:ilvl="0" w:tplc="EEB43846">
      <w:start w:val="1"/>
      <w:numFmt w:val="decimal"/>
      <w:lvlText w:val="%1."/>
      <w:lvlJc w:val="left"/>
      <w:pPr>
        <w:ind w:left="29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38408A"/>
    <w:multiLevelType w:val="hybridMultilevel"/>
    <w:tmpl w:val="5706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83910"/>
    <w:multiLevelType w:val="hybridMultilevel"/>
    <w:tmpl w:val="824C18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0AD1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BA6380"/>
    <w:multiLevelType w:val="hybridMultilevel"/>
    <w:tmpl w:val="56C06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5"/>
  </w:num>
  <w:num w:numId="11">
    <w:abstractNumId w:val="17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LockTheme/>
  <w:styleLockQFSet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CD"/>
    <w:rsid w:val="00007D17"/>
    <w:rsid w:val="0002048A"/>
    <w:rsid w:val="000205E2"/>
    <w:rsid w:val="00041DE8"/>
    <w:rsid w:val="000579BF"/>
    <w:rsid w:val="000852C6"/>
    <w:rsid w:val="00094C56"/>
    <w:rsid w:val="000A7BB4"/>
    <w:rsid w:val="000B0DA9"/>
    <w:rsid w:val="000B3F29"/>
    <w:rsid w:val="000D1A70"/>
    <w:rsid w:val="000D5F99"/>
    <w:rsid w:val="000D6719"/>
    <w:rsid w:val="000F1AD4"/>
    <w:rsid w:val="000F2E28"/>
    <w:rsid w:val="00111C3B"/>
    <w:rsid w:val="001567F5"/>
    <w:rsid w:val="001569A5"/>
    <w:rsid w:val="0016368E"/>
    <w:rsid w:val="00163CEF"/>
    <w:rsid w:val="00163FE6"/>
    <w:rsid w:val="00164FB5"/>
    <w:rsid w:val="001716E7"/>
    <w:rsid w:val="00174C49"/>
    <w:rsid w:val="00180386"/>
    <w:rsid w:val="001B2748"/>
    <w:rsid w:val="001B4896"/>
    <w:rsid w:val="001B5A8A"/>
    <w:rsid w:val="001D2BA3"/>
    <w:rsid w:val="001E1050"/>
    <w:rsid w:val="001E193C"/>
    <w:rsid w:val="001F216B"/>
    <w:rsid w:val="001F753E"/>
    <w:rsid w:val="00200901"/>
    <w:rsid w:val="00213F29"/>
    <w:rsid w:val="0023314E"/>
    <w:rsid w:val="002333D3"/>
    <w:rsid w:val="0025356C"/>
    <w:rsid w:val="00274ED0"/>
    <w:rsid w:val="00274F24"/>
    <w:rsid w:val="00297ADD"/>
    <w:rsid w:val="002A33E2"/>
    <w:rsid w:val="002A6F93"/>
    <w:rsid w:val="002C02C6"/>
    <w:rsid w:val="002C14E6"/>
    <w:rsid w:val="002C4517"/>
    <w:rsid w:val="002D7BEB"/>
    <w:rsid w:val="002E68F4"/>
    <w:rsid w:val="002F4BF8"/>
    <w:rsid w:val="00301454"/>
    <w:rsid w:val="00306431"/>
    <w:rsid w:val="00321B63"/>
    <w:rsid w:val="00333281"/>
    <w:rsid w:val="00350376"/>
    <w:rsid w:val="00357315"/>
    <w:rsid w:val="00376B3C"/>
    <w:rsid w:val="003852F1"/>
    <w:rsid w:val="0038582B"/>
    <w:rsid w:val="00386500"/>
    <w:rsid w:val="003A3CFC"/>
    <w:rsid w:val="003C0F40"/>
    <w:rsid w:val="003D0102"/>
    <w:rsid w:val="003D6F7F"/>
    <w:rsid w:val="003E5FEF"/>
    <w:rsid w:val="004202AB"/>
    <w:rsid w:val="00420701"/>
    <w:rsid w:val="00460423"/>
    <w:rsid w:val="00465FCA"/>
    <w:rsid w:val="00472624"/>
    <w:rsid w:val="0047764F"/>
    <w:rsid w:val="004923DB"/>
    <w:rsid w:val="004939DD"/>
    <w:rsid w:val="004A270A"/>
    <w:rsid w:val="004A3AF0"/>
    <w:rsid w:val="004B306A"/>
    <w:rsid w:val="004B39CD"/>
    <w:rsid w:val="004B6620"/>
    <w:rsid w:val="004E4BC1"/>
    <w:rsid w:val="004E7549"/>
    <w:rsid w:val="00511404"/>
    <w:rsid w:val="00537EB9"/>
    <w:rsid w:val="005522CD"/>
    <w:rsid w:val="00560DEF"/>
    <w:rsid w:val="00570E82"/>
    <w:rsid w:val="00581EF8"/>
    <w:rsid w:val="00582715"/>
    <w:rsid w:val="00591C6B"/>
    <w:rsid w:val="005924F1"/>
    <w:rsid w:val="00597A15"/>
    <w:rsid w:val="005B264D"/>
    <w:rsid w:val="005B2A63"/>
    <w:rsid w:val="005C347E"/>
    <w:rsid w:val="006015AB"/>
    <w:rsid w:val="00642873"/>
    <w:rsid w:val="00654659"/>
    <w:rsid w:val="00675E1D"/>
    <w:rsid w:val="00685263"/>
    <w:rsid w:val="00694ACB"/>
    <w:rsid w:val="006A32E0"/>
    <w:rsid w:val="006B7201"/>
    <w:rsid w:val="006C6D8D"/>
    <w:rsid w:val="006D0C79"/>
    <w:rsid w:val="006E48F0"/>
    <w:rsid w:val="006F5DF2"/>
    <w:rsid w:val="0070563E"/>
    <w:rsid w:val="00726DFE"/>
    <w:rsid w:val="00730A90"/>
    <w:rsid w:val="00752D32"/>
    <w:rsid w:val="00767FE5"/>
    <w:rsid w:val="00770EC3"/>
    <w:rsid w:val="0077359B"/>
    <w:rsid w:val="00773E8F"/>
    <w:rsid w:val="007B6131"/>
    <w:rsid w:val="007B6D77"/>
    <w:rsid w:val="007C1E2F"/>
    <w:rsid w:val="007C61BB"/>
    <w:rsid w:val="00806B09"/>
    <w:rsid w:val="00821843"/>
    <w:rsid w:val="0083362C"/>
    <w:rsid w:val="008437A4"/>
    <w:rsid w:val="00862983"/>
    <w:rsid w:val="00865A88"/>
    <w:rsid w:val="0089320A"/>
    <w:rsid w:val="00895F94"/>
    <w:rsid w:val="0089666D"/>
    <w:rsid w:val="008B1831"/>
    <w:rsid w:val="008C00F2"/>
    <w:rsid w:val="008D655A"/>
    <w:rsid w:val="008F164D"/>
    <w:rsid w:val="00902DDD"/>
    <w:rsid w:val="00920C0A"/>
    <w:rsid w:val="00922B0F"/>
    <w:rsid w:val="00923B01"/>
    <w:rsid w:val="00934A8E"/>
    <w:rsid w:val="009634AF"/>
    <w:rsid w:val="00981EB3"/>
    <w:rsid w:val="0098448D"/>
    <w:rsid w:val="009A3E89"/>
    <w:rsid w:val="009A703D"/>
    <w:rsid w:val="009B05B9"/>
    <w:rsid w:val="009C669F"/>
    <w:rsid w:val="00A11C13"/>
    <w:rsid w:val="00A1327F"/>
    <w:rsid w:val="00A16545"/>
    <w:rsid w:val="00A34194"/>
    <w:rsid w:val="00A34EFB"/>
    <w:rsid w:val="00A351D5"/>
    <w:rsid w:val="00A35CF5"/>
    <w:rsid w:val="00A42DF5"/>
    <w:rsid w:val="00A73D2A"/>
    <w:rsid w:val="00A746F7"/>
    <w:rsid w:val="00A772B2"/>
    <w:rsid w:val="00A77C83"/>
    <w:rsid w:val="00A83155"/>
    <w:rsid w:val="00A8474B"/>
    <w:rsid w:val="00A854A9"/>
    <w:rsid w:val="00AD2035"/>
    <w:rsid w:val="00AF78CF"/>
    <w:rsid w:val="00B03F95"/>
    <w:rsid w:val="00B06C9B"/>
    <w:rsid w:val="00B16D99"/>
    <w:rsid w:val="00B60B24"/>
    <w:rsid w:val="00B74481"/>
    <w:rsid w:val="00B9797A"/>
    <w:rsid w:val="00BA64F1"/>
    <w:rsid w:val="00BC47D9"/>
    <w:rsid w:val="00BF2566"/>
    <w:rsid w:val="00C201CD"/>
    <w:rsid w:val="00C335F5"/>
    <w:rsid w:val="00C43CD6"/>
    <w:rsid w:val="00C50993"/>
    <w:rsid w:val="00C865D4"/>
    <w:rsid w:val="00C94977"/>
    <w:rsid w:val="00C95866"/>
    <w:rsid w:val="00CB0943"/>
    <w:rsid w:val="00CB1499"/>
    <w:rsid w:val="00CC4DFC"/>
    <w:rsid w:val="00CC66D4"/>
    <w:rsid w:val="00CC7653"/>
    <w:rsid w:val="00CD12A2"/>
    <w:rsid w:val="00CD5002"/>
    <w:rsid w:val="00CD7162"/>
    <w:rsid w:val="00CD76E5"/>
    <w:rsid w:val="00CF3B4C"/>
    <w:rsid w:val="00D04272"/>
    <w:rsid w:val="00D113BE"/>
    <w:rsid w:val="00D137D2"/>
    <w:rsid w:val="00D20C70"/>
    <w:rsid w:val="00D210AE"/>
    <w:rsid w:val="00D62488"/>
    <w:rsid w:val="00D73690"/>
    <w:rsid w:val="00D80924"/>
    <w:rsid w:val="00D81409"/>
    <w:rsid w:val="00D96828"/>
    <w:rsid w:val="00DA29F6"/>
    <w:rsid w:val="00DF72CF"/>
    <w:rsid w:val="00E02E88"/>
    <w:rsid w:val="00E134C5"/>
    <w:rsid w:val="00E25BD9"/>
    <w:rsid w:val="00E31192"/>
    <w:rsid w:val="00E36AE0"/>
    <w:rsid w:val="00E37B2C"/>
    <w:rsid w:val="00E41706"/>
    <w:rsid w:val="00E5067C"/>
    <w:rsid w:val="00E70207"/>
    <w:rsid w:val="00E76000"/>
    <w:rsid w:val="00E92ACE"/>
    <w:rsid w:val="00EC7C6C"/>
    <w:rsid w:val="00ED3AF1"/>
    <w:rsid w:val="00ED6A4F"/>
    <w:rsid w:val="00EE1871"/>
    <w:rsid w:val="00EE769F"/>
    <w:rsid w:val="00EF1872"/>
    <w:rsid w:val="00F00CE5"/>
    <w:rsid w:val="00F109F7"/>
    <w:rsid w:val="00F21E03"/>
    <w:rsid w:val="00F24111"/>
    <w:rsid w:val="00F26BA5"/>
    <w:rsid w:val="00F30898"/>
    <w:rsid w:val="00F5517A"/>
    <w:rsid w:val="00F600D8"/>
    <w:rsid w:val="00F63D86"/>
    <w:rsid w:val="00F6636B"/>
    <w:rsid w:val="00F677AA"/>
    <w:rsid w:val="00F806B6"/>
    <w:rsid w:val="00F809F9"/>
    <w:rsid w:val="00F85B27"/>
    <w:rsid w:val="00F949B7"/>
    <w:rsid w:val="00FA2132"/>
    <w:rsid w:val="00FA7422"/>
    <w:rsid w:val="00FB1B76"/>
    <w:rsid w:val="00FB291E"/>
    <w:rsid w:val="00FB2AA0"/>
    <w:rsid w:val="00FC59FA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363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semiHidden="0" w:uiPriority="9" w:unhideWhenUsed="0" w:qFormat="1"/>
    <w:lsdException w:name="heading 5" w:locked="0" w:uiPriority="9" w:unhideWhenUsed="0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iPriority="22" w:unhideWhenUsed="0" w:qFormat="1"/>
    <w:lsdException w:name="Emphasis" w:locked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517A"/>
    <w:pPr>
      <w:spacing w:after="12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5517A"/>
    <w:pPr>
      <w:tabs>
        <w:tab w:val="center" w:pos="4513"/>
        <w:tab w:val="right" w:pos="9026"/>
      </w:tabs>
      <w:ind w:left="-1474" w:right="-1474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F5517A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qFormat/>
    <w:rsid w:val="00F5517A"/>
    <w:pPr>
      <w:tabs>
        <w:tab w:val="center" w:pos="4513"/>
        <w:tab w:val="right" w:pos="9026"/>
      </w:tabs>
      <w:spacing w:after="0"/>
      <w:ind w:left="-1474" w:right="-1474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5517A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E7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F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1C3B"/>
    <w:pPr>
      <w:spacing w:after="0"/>
    </w:pPr>
    <w:rPr>
      <w:rFonts w:ascii="Calibri" w:eastAsia="Calibri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1C3B"/>
    <w:rPr>
      <w:rFonts w:ascii="Calibri" w:eastAsia="Calibri" w:hAnsi="Calibri" w:cs="Times New Roman"/>
      <w:szCs w:val="21"/>
      <w:lang w:val="x-none"/>
    </w:rPr>
  </w:style>
  <w:style w:type="paragraph" w:customStyle="1" w:styleId="Block">
    <w:name w:val="Block"/>
    <w:basedOn w:val="Normal"/>
    <w:link w:val="BlockChar"/>
    <w:rsid w:val="002C4517"/>
    <w:pPr>
      <w:tabs>
        <w:tab w:val="left" w:pos="360"/>
      </w:tabs>
      <w:spacing w:after="0"/>
      <w:ind w:left="36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ockChar">
    <w:name w:val="Block Char"/>
    <w:link w:val="Block"/>
    <w:rsid w:val="002C45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437A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706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706"/>
    <w:rPr>
      <w:rFonts w:ascii="Georgia" w:hAnsi="Georg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53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13BE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FB1B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semiHidden="0" w:uiPriority="9" w:unhideWhenUsed="0" w:qFormat="1"/>
    <w:lsdException w:name="heading 5" w:locked="0" w:uiPriority="9" w:unhideWhenUsed="0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iPriority="22" w:unhideWhenUsed="0" w:qFormat="1"/>
    <w:lsdException w:name="Emphasis" w:locked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517A"/>
    <w:pPr>
      <w:spacing w:after="12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5517A"/>
    <w:pPr>
      <w:tabs>
        <w:tab w:val="center" w:pos="4513"/>
        <w:tab w:val="right" w:pos="9026"/>
      </w:tabs>
      <w:ind w:left="-1474" w:right="-1474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F5517A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qFormat/>
    <w:rsid w:val="00F5517A"/>
    <w:pPr>
      <w:tabs>
        <w:tab w:val="center" w:pos="4513"/>
        <w:tab w:val="right" w:pos="9026"/>
      </w:tabs>
      <w:spacing w:after="0"/>
      <w:ind w:left="-1474" w:right="-1474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5517A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E7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F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1C3B"/>
    <w:pPr>
      <w:spacing w:after="0"/>
    </w:pPr>
    <w:rPr>
      <w:rFonts w:ascii="Calibri" w:eastAsia="Calibri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1C3B"/>
    <w:rPr>
      <w:rFonts w:ascii="Calibri" w:eastAsia="Calibri" w:hAnsi="Calibri" w:cs="Times New Roman"/>
      <w:szCs w:val="21"/>
      <w:lang w:val="x-none"/>
    </w:rPr>
  </w:style>
  <w:style w:type="paragraph" w:customStyle="1" w:styleId="Block">
    <w:name w:val="Block"/>
    <w:basedOn w:val="Normal"/>
    <w:link w:val="BlockChar"/>
    <w:rsid w:val="002C4517"/>
    <w:pPr>
      <w:tabs>
        <w:tab w:val="left" w:pos="360"/>
      </w:tabs>
      <w:spacing w:after="0"/>
      <w:ind w:left="36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ockChar">
    <w:name w:val="Block Char"/>
    <w:link w:val="Block"/>
    <w:rsid w:val="002C45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437A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706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706"/>
    <w:rPr>
      <w:rFonts w:ascii="Georgia" w:hAnsi="Georg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53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13BE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FB1B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214">
          <w:marLeft w:val="90"/>
          <w:marRight w:val="75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chart" Target="charts/chart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chart" Target="charts/chart2.xm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hart" Target="charts/chart1.xm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chart" Target="charts/chart5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emf"/><Relationship Id="rId27" Type="http://schemas.openxmlformats.org/officeDocument/2006/relationships/chart" Target="charts/chart4.xm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odmeteorfs.gf.theglobalfund.org\UserDocuments\NWorkneh\Documents\GF_Nibretie\Countries\0PerformanceTeam\Performance%20profile\PIP\ImpactDB\HIV,%20TB%20and%20malaria%20data2011_from%20ImpactDB_v9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odmeteorfs.gf.theglobalfund.org\UserDocuments\NWorkneh\documents\GF_Nibretie\Countries\0PerformanceTeam\Performance%20profile\PIP\ImpactDB\HIV,%20TB%20and%20malaria%20data2011_from%20ImpactDB_v91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odmeteorfs.gf.theglobalfund.org\UserDocuments\NWorkneh\Documents\GF_Nibretie\Countries\0PerformanceTeam\Performance%20profile\PIP\ImpactDB\HIV,%20TB%20and%20malaria%20data2011_from%20ImpactDB_v91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odmeteorfs.gf.theglobalfund.org\UserDocuments\NWorkneh\documents\GF_Nibretie\Countries\0PerformanceTeam\Performance%20profile\PIP\ImpactDB\HIV,%20TB%20and%20malaria%20data2011_from%20ImpactDB_v91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odmeteorfs.gf.theglobalfund.org\UserDocuments\NWorkneh\documents\GF_Nibretie\Countries\0PerformanceTeam\Performance%20profile\PIP\ImpactDB\HIV,%20TB%20and%20malaria%20data2011_from%20ImpactDB_v9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[HIV, TB and malaria data2011_from ImpactDB_v910.xlsx]TBCompareCountries!PivotTable2</c:name>
    <c:fmtId val="-1"/>
  </c:pivotSource>
  <c:chart>
    <c:title>
      <c:tx>
        <c:strRef>
          <c:f>TBCompareCountries!$A$48</c:f>
          <c:strCache>
            <c:ptCount val="1"/>
            <c:pt idx="0">
              <c:v>% of estimated all forms of TB reported</c:v>
            </c:pt>
          </c:strCache>
        </c:strRef>
      </c:tx>
      <c:overlay val="0"/>
      <c:txPr>
        <a:bodyPr/>
        <a:lstStyle/>
        <a:p>
          <a:pPr>
            <a:defRPr sz="1100" i="1"/>
          </a:pPr>
          <a:endParaRPr lang="en-US"/>
        </a:p>
      </c:txPr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spPr>
          <a:solidFill>
            <a:srgbClr val="00B050"/>
          </a:solidFill>
        </c:spP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3"/>
        <c:spPr>
          <a:solidFill>
            <a:srgbClr val="00B050"/>
          </a:solidFill>
        </c:spP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5"/>
        <c:spPr>
          <a:solidFill>
            <a:srgbClr val="00B050"/>
          </a:solidFill>
        </c:spPr>
      </c:pivotFmt>
      <c:pivotFmt>
        <c:idx val="6"/>
        <c:spPr>
          <a:solidFill>
            <a:srgbClr val="FFC000"/>
          </a:solidFill>
        </c:spPr>
      </c:pivotFmt>
      <c:pivotFmt>
        <c:idx val="7"/>
        <c:spPr>
          <a:solidFill>
            <a:srgbClr val="FFC000"/>
          </a:solidFill>
        </c:spPr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9"/>
        <c:spPr>
          <a:solidFill>
            <a:srgbClr val="FFC000"/>
          </a:solidFill>
        </c:spPr>
      </c:pivotFmt>
      <c:pivotFmt>
        <c:idx val="10"/>
        <c:spPr>
          <a:solidFill>
            <a:srgbClr val="00B050"/>
          </a:solidFill>
        </c:spPr>
      </c:pivotFmt>
      <c:pivotFmt>
        <c:idx val="1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2"/>
        <c:spPr>
          <a:solidFill>
            <a:srgbClr val="FFC000"/>
          </a:solidFill>
        </c:spPr>
      </c:pivotFmt>
      <c:pivotFmt>
        <c:idx val="13"/>
        <c:spPr>
          <a:solidFill>
            <a:srgbClr val="00B050"/>
          </a:solidFill>
        </c:spP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TBCompareCountries!$A$48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Pt>
            <c:idx val="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8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TBCompareCountries!$A$48</c:f>
              <c:strCache>
                <c:ptCount val="20"/>
                <c:pt idx="0">
                  <c:v>Tajikistan</c:v>
                </c:pt>
                <c:pt idx="1">
                  <c:v>Uzbekistan</c:v>
                </c:pt>
                <c:pt idx="2">
                  <c:v>Azerbaijan</c:v>
                </c:pt>
                <c:pt idx="3">
                  <c:v>Belarus</c:v>
                </c:pt>
                <c:pt idx="4">
                  <c:v>Republic of Moldova</c:v>
                </c:pt>
                <c:pt idx="5">
                  <c:v>Bosnia and Herzegovina</c:v>
                </c:pt>
                <c:pt idx="6">
                  <c:v>Armenia</c:v>
                </c:pt>
                <c:pt idx="7">
                  <c:v>Romania</c:v>
                </c:pt>
                <c:pt idx="8">
                  <c:v>Kyrgyzstan</c:v>
                </c:pt>
                <c:pt idx="9">
                  <c:v>Russian Federation</c:v>
                </c:pt>
                <c:pt idx="10">
                  <c:v>Croatia</c:v>
                </c:pt>
                <c:pt idx="11">
                  <c:v>The Former Yugoslav Republic of Macedonia</c:v>
                </c:pt>
                <c:pt idx="12">
                  <c:v>Bulgaria</c:v>
                </c:pt>
                <c:pt idx="13">
                  <c:v>Georgia</c:v>
                </c:pt>
                <c:pt idx="14">
                  <c:v>Turkey</c:v>
                </c:pt>
                <c:pt idx="15">
                  <c:v>Ukraine</c:v>
                </c:pt>
                <c:pt idx="16">
                  <c:v>Estonia</c:v>
                </c:pt>
                <c:pt idx="17">
                  <c:v>Kazakhstan</c:v>
                </c:pt>
                <c:pt idx="18">
                  <c:v>Global Target (by 2015)</c:v>
                </c:pt>
                <c:pt idx="19">
                  <c:v>Albania</c:v>
                </c:pt>
              </c:strCache>
            </c:strRef>
          </c:cat>
          <c:val>
            <c:numRef>
              <c:f>TBCompareCountries!$A$48</c:f>
              <c:numCache>
                <c:formatCode>_-* #,##0_-;\-* #,##0_-;_-* "-"??_-;_-@_-</c:formatCode>
                <c:ptCount val="20"/>
                <c:pt idx="0">
                  <c:v>46.650168999999998</c:v>
                </c:pt>
                <c:pt idx="1">
                  <c:v>51.598820000000003</c:v>
                </c:pt>
                <c:pt idx="2">
                  <c:v>62.028759000000001</c:v>
                </c:pt>
                <c:pt idx="3">
                  <c:v>70.113372999999996</c:v>
                </c:pt>
                <c:pt idx="4">
                  <c:v>73.737922999999995</c:v>
                </c:pt>
                <c:pt idx="5">
                  <c:v>73.875107</c:v>
                </c:pt>
                <c:pt idx="6">
                  <c:v>74.369872999999998</c:v>
                </c:pt>
                <c:pt idx="7">
                  <c:v>78.159142000000003</c:v>
                </c:pt>
                <c:pt idx="8">
                  <c:v>79.896629000000004</c:v>
                </c:pt>
                <c:pt idx="9">
                  <c:v>81.123894000000007</c:v>
                </c:pt>
                <c:pt idx="10">
                  <c:v>81.728049999999996</c:v>
                </c:pt>
                <c:pt idx="11">
                  <c:v>82.505439999999993</c:v>
                </c:pt>
                <c:pt idx="12">
                  <c:v>83.483886999999996</c:v>
                </c:pt>
                <c:pt idx="13">
                  <c:v>83.718010000000007</c:v>
                </c:pt>
                <c:pt idx="14">
                  <c:v>85.214340000000007</c:v>
                </c:pt>
                <c:pt idx="15">
                  <c:v>85.511298999999994</c:v>
                </c:pt>
                <c:pt idx="16">
                  <c:v>89.174369999999996</c:v>
                </c:pt>
                <c:pt idx="17">
                  <c:v>92</c:v>
                </c:pt>
                <c:pt idx="18">
                  <c:v>100</c:v>
                </c:pt>
                <c:pt idx="19">
                  <c:v>100.51039900000001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3775104"/>
        <c:axId val="23776640"/>
      </c:barChart>
      <c:catAx>
        <c:axId val="23775104"/>
        <c:scaling>
          <c:orientation val="minMax"/>
        </c:scaling>
        <c:delete val="0"/>
        <c:axPos val="l"/>
        <c:majorTickMark val="none"/>
        <c:minorTickMark val="none"/>
        <c:tickLblPos val="nextTo"/>
        <c:crossAx val="23776640"/>
        <c:crosses val="autoZero"/>
        <c:auto val="1"/>
        <c:lblAlgn val="ctr"/>
        <c:lblOffset val="100"/>
        <c:noMultiLvlLbl val="0"/>
      </c:catAx>
      <c:valAx>
        <c:axId val="23776640"/>
        <c:scaling>
          <c:orientation val="minMax"/>
        </c:scaling>
        <c:delete val="1"/>
        <c:axPos val="b"/>
        <c:numFmt formatCode="_-* #,##0_-;\-* #,##0_-;_-* &quot;-&quot;??_-;_-@_-" sourceLinked="1"/>
        <c:majorTickMark val="none"/>
        <c:minorTickMark val="none"/>
        <c:tickLblPos val="nextTo"/>
        <c:crossAx val="23775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[HIV, TB and malaria data2011_from ImpactDB_v910.xlsx]TBCompareCountries!PivotTable17</c:name>
    <c:fmtId val="-1"/>
  </c:pivotSource>
  <c:chart>
    <c:title>
      <c:tx>
        <c:strRef>
          <c:f>TBCompareCountries!$A$85</c:f>
          <c:strCache>
            <c:ptCount val="1"/>
            <c:pt idx="0">
              <c:v>Treatment success rate, smear positive (%)</c:v>
            </c:pt>
          </c:strCache>
        </c:strRef>
      </c:tx>
      <c:overlay val="0"/>
      <c:txPr>
        <a:bodyPr/>
        <a:lstStyle/>
        <a:p>
          <a:pPr>
            <a:defRPr sz="1100" i="1"/>
          </a:pPr>
          <a:endParaRPr lang="en-US"/>
        </a:p>
      </c:txPr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spPr>
          <a:solidFill>
            <a:srgbClr val="00B050"/>
          </a:solidFill>
        </c:spP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3"/>
        <c:spPr>
          <a:solidFill>
            <a:srgbClr val="00B050"/>
          </a:solidFill>
        </c:spP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5"/>
        <c:spPr>
          <a:solidFill>
            <a:srgbClr val="00B050"/>
          </a:solidFill>
        </c:spPr>
      </c:pivotFmt>
      <c:pivotFmt>
        <c:idx val="6"/>
        <c:spPr>
          <a:solidFill>
            <a:srgbClr val="FFC000"/>
          </a:solidFill>
        </c:spPr>
      </c:pivotFmt>
      <c:pivotFmt>
        <c:idx val="7"/>
        <c:spPr>
          <a:solidFill>
            <a:srgbClr val="FFC000"/>
          </a:solidFill>
        </c:spPr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9"/>
        <c:spPr>
          <a:solidFill>
            <a:srgbClr val="FFC000"/>
          </a:solidFill>
        </c:spPr>
      </c:pivotFmt>
      <c:pivotFmt>
        <c:idx val="10"/>
        <c:spPr>
          <a:solidFill>
            <a:srgbClr val="00B050"/>
          </a:solidFill>
        </c:spPr>
      </c:pivotFmt>
      <c:pivotFmt>
        <c:idx val="1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2"/>
        <c:spPr>
          <a:solidFill>
            <a:srgbClr val="FFC000"/>
          </a:solidFill>
        </c:spPr>
      </c:pivotFmt>
      <c:pivotFmt>
        <c:idx val="13"/>
        <c:spPr>
          <a:solidFill>
            <a:srgbClr val="00B050"/>
          </a:solidFill>
        </c:spP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TBCompareCountries!$A$85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2"/>
            <c:invertIfNegative val="0"/>
            <c:bubble3D val="0"/>
          </c:dPt>
          <c:dPt>
            <c:idx val="16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TBCompareCountries!$A$85</c:f>
              <c:strCache>
                <c:ptCount val="21"/>
                <c:pt idx="0">
                  <c:v>Kyrgyzstan</c:v>
                </c:pt>
                <c:pt idx="1">
                  <c:v>Turkmenistan</c:v>
                </c:pt>
                <c:pt idx="2">
                  <c:v>Russian Federation</c:v>
                </c:pt>
                <c:pt idx="3">
                  <c:v>Republic of Moldova</c:v>
                </c:pt>
                <c:pt idx="4">
                  <c:v>Ukraine</c:v>
                </c:pt>
                <c:pt idx="5">
                  <c:v>Kazakhstan</c:v>
                </c:pt>
                <c:pt idx="6">
                  <c:v>Belarus</c:v>
                </c:pt>
                <c:pt idx="7">
                  <c:v>Estonia</c:v>
                </c:pt>
                <c:pt idx="8">
                  <c:v>Armenia</c:v>
                </c:pt>
                <c:pt idx="9">
                  <c:v>Croatia</c:v>
                </c:pt>
                <c:pt idx="10">
                  <c:v>Georgia</c:v>
                </c:pt>
                <c:pt idx="11">
                  <c:v>Azerbaijan</c:v>
                </c:pt>
                <c:pt idx="12">
                  <c:v>Tajikistan</c:v>
                </c:pt>
                <c:pt idx="13">
                  <c:v>Uzbekistan</c:v>
                </c:pt>
                <c:pt idx="14">
                  <c:v>Romania</c:v>
                </c:pt>
                <c:pt idx="15">
                  <c:v>Bulgaria</c:v>
                </c:pt>
                <c:pt idx="16">
                  <c:v>Global Target (by 2015)</c:v>
                </c:pt>
                <c:pt idx="17">
                  <c:v>The Former Yugoslav Republic of Macedonia</c:v>
                </c:pt>
                <c:pt idx="18">
                  <c:v>Albania</c:v>
                </c:pt>
                <c:pt idx="19">
                  <c:v>Turkey</c:v>
                </c:pt>
                <c:pt idx="20">
                  <c:v>Bosnia and Herzegovina</c:v>
                </c:pt>
              </c:strCache>
            </c:strRef>
          </c:cat>
          <c:val>
            <c:numRef>
              <c:f>TBCompareCountries!$A$85</c:f>
              <c:numCache>
                <c:formatCode>General</c:formatCode>
                <c:ptCount val="21"/>
                <c:pt idx="2">
                  <c:v>53</c:v>
                </c:pt>
                <c:pt idx="3">
                  <c:v>57</c:v>
                </c:pt>
                <c:pt idx="4">
                  <c:v>60</c:v>
                </c:pt>
                <c:pt idx="5">
                  <c:v>61</c:v>
                </c:pt>
                <c:pt idx="6">
                  <c:v>66</c:v>
                </c:pt>
                <c:pt idx="7">
                  <c:v>68</c:v>
                </c:pt>
                <c:pt idx="8">
                  <c:v>72</c:v>
                </c:pt>
                <c:pt idx="9">
                  <c:v>75</c:v>
                </c:pt>
                <c:pt idx="10">
                  <c:v>76</c:v>
                </c:pt>
                <c:pt idx="11">
                  <c:v>77</c:v>
                </c:pt>
                <c:pt idx="12">
                  <c:v>80</c:v>
                </c:pt>
                <c:pt idx="13">
                  <c:v>81</c:v>
                </c:pt>
                <c:pt idx="14">
                  <c:v>84</c:v>
                </c:pt>
                <c:pt idx="15">
                  <c:v>86</c:v>
                </c:pt>
                <c:pt idx="16">
                  <c:v>90</c:v>
                </c:pt>
                <c:pt idx="17">
                  <c:v>90</c:v>
                </c:pt>
                <c:pt idx="18">
                  <c:v>91</c:v>
                </c:pt>
                <c:pt idx="19">
                  <c:v>91</c:v>
                </c:pt>
                <c:pt idx="20">
                  <c:v>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4939776"/>
        <c:axId val="94941568"/>
      </c:barChart>
      <c:catAx>
        <c:axId val="94939776"/>
        <c:scaling>
          <c:orientation val="minMax"/>
        </c:scaling>
        <c:delete val="0"/>
        <c:axPos val="l"/>
        <c:majorTickMark val="out"/>
        <c:minorTickMark val="none"/>
        <c:tickLblPos val="nextTo"/>
        <c:crossAx val="94941568"/>
        <c:crosses val="autoZero"/>
        <c:auto val="1"/>
        <c:lblAlgn val="ctr"/>
        <c:lblOffset val="100"/>
        <c:noMultiLvlLbl val="0"/>
      </c:catAx>
      <c:valAx>
        <c:axId val="94941568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4939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[HIV, TB and malaria data2011_from ImpactDB_v910.xlsx]TBCompareCountries!PivotTable5</c:name>
    <c:fmtId val="-1"/>
  </c:pivotSource>
  <c:chart>
    <c:title>
      <c:tx>
        <c:strRef>
          <c:f>TBCompareCountries!$A$221</c:f>
          <c:strCache>
            <c:ptCount val="1"/>
            <c:pt idx="0">
              <c:v>% of notified TB cases (new &amp; retreatment) tested for HIV</c:v>
            </c:pt>
          </c:strCache>
        </c:strRef>
      </c:tx>
      <c:overlay val="0"/>
      <c:txPr>
        <a:bodyPr/>
        <a:lstStyle/>
        <a:p>
          <a:pPr>
            <a:defRPr sz="1100" i="1"/>
          </a:pPr>
          <a:endParaRPr lang="en-US"/>
        </a:p>
      </c:txPr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spPr>
          <a:solidFill>
            <a:srgbClr val="00B050"/>
          </a:solidFill>
        </c:spP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3"/>
        <c:spPr>
          <a:solidFill>
            <a:srgbClr val="00B050"/>
          </a:solidFill>
        </c:spP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5"/>
        <c:spPr>
          <a:solidFill>
            <a:srgbClr val="00B050"/>
          </a:solidFill>
        </c:spPr>
      </c:pivotFmt>
      <c:pivotFmt>
        <c:idx val="6"/>
        <c:spPr>
          <a:solidFill>
            <a:srgbClr val="FFC000"/>
          </a:solidFill>
        </c:spPr>
      </c:pivotFmt>
      <c:pivotFmt>
        <c:idx val="7"/>
        <c:spPr>
          <a:solidFill>
            <a:srgbClr val="FFC000"/>
          </a:solidFill>
        </c:spPr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9"/>
        <c:spPr>
          <a:solidFill>
            <a:srgbClr val="FFC000"/>
          </a:solidFill>
        </c:spPr>
      </c:pivotFmt>
      <c:pivotFmt>
        <c:idx val="10"/>
        <c:spPr>
          <a:solidFill>
            <a:srgbClr val="00B050"/>
          </a:solidFill>
        </c:spPr>
      </c:pivotFmt>
      <c:pivotFmt>
        <c:idx val="1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2"/>
        <c:spPr>
          <a:solidFill>
            <a:srgbClr val="FFC000"/>
          </a:solidFill>
        </c:spPr>
      </c:pivotFmt>
      <c:pivotFmt>
        <c:idx val="13"/>
        <c:spPr>
          <a:solidFill>
            <a:srgbClr val="00B050"/>
          </a:solidFill>
        </c:spP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TBCompareCountries!$A$221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Pt>
            <c:idx val="5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2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7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TBCompareCountries!$A$221</c:f>
              <c:strCache>
                <c:ptCount val="18"/>
                <c:pt idx="0">
                  <c:v>Bosnia and Herzegovina</c:v>
                </c:pt>
                <c:pt idx="1">
                  <c:v>Kyrgyzstan</c:v>
                </c:pt>
                <c:pt idx="2">
                  <c:v>The Former Yugoslav Republic of Macedonia</c:v>
                </c:pt>
                <c:pt idx="3">
                  <c:v>Albania</c:v>
                </c:pt>
                <c:pt idx="4">
                  <c:v>Georgia</c:v>
                </c:pt>
                <c:pt idx="5">
                  <c:v>Romania</c:v>
                </c:pt>
                <c:pt idx="6">
                  <c:v>Turkey</c:v>
                </c:pt>
                <c:pt idx="7">
                  <c:v>Russian Federation</c:v>
                </c:pt>
                <c:pt idx="8">
                  <c:v>Bulgaria</c:v>
                </c:pt>
                <c:pt idx="9">
                  <c:v>Ukraine</c:v>
                </c:pt>
                <c:pt idx="10">
                  <c:v>Tajikistan</c:v>
                </c:pt>
                <c:pt idx="11">
                  <c:v>Kazakhstan</c:v>
                </c:pt>
                <c:pt idx="12">
                  <c:v>Estonia</c:v>
                </c:pt>
                <c:pt idx="13">
                  <c:v>Belarus</c:v>
                </c:pt>
                <c:pt idx="14">
                  <c:v>Republic of Moldova</c:v>
                </c:pt>
                <c:pt idx="15">
                  <c:v>Armenia</c:v>
                </c:pt>
                <c:pt idx="16">
                  <c:v>Uzbekistan</c:v>
                </c:pt>
                <c:pt idx="17">
                  <c:v>Global Target (by 2015)</c:v>
                </c:pt>
              </c:strCache>
            </c:strRef>
          </c:cat>
          <c:val>
            <c:numRef>
              <c:f>TBCompareCountries!$A$221</c:f>
              <c:numCache>
                <c:formatCode>_-* #,##0_-;\-* #,##0_-;_-* "-"??_-;_-@_-</c:formatCode>
                <c:ptCount val="18"/>
                <c:pt idx="0">
                  <c:v>0</c:v>
                </c:pt>
                <c:pt idx="1">
                  <c:v>2.446434</c:v>
                </c:pt>
                <c:pt idx="2">
                  <c:v>12.43094</c:v>
                </c:pt>
                <c:pt idx="3">
                  <c:v>39.443156999999999</c:v>
                </c:pt>
                <c:pt idx="4">
                  <c:v>46.087111999999998</c:v>
                </c:pt>
                <c:pt idx="5">
                  <c:v>46.154648000000002</c:v>
                </c:pt>
                <c:pt idx="6">
                  <c:v>46.182792999999997</c:v>
                </c:pt>
                <c:pt idx="7">
                  <c:v>49.846062000000003</c:v>
                </c:pt>
                <c:pt idx="8">
                  <c:v>70.544242999999994</c:v>
                </c:pt>
                <c:pt idx="9">
                  <c:v>74.458709999999996</c:v>
                </c:pt>
                <c:pt idx="10">
                  <c:v>82.021293999999997</c:v>
                </c:pt>
                <c:pt idx="11">
                  <c:v>85</c:v>
                </c:pt>
                <c:pt idx="12">
                  <c:v>91.788856999999993</c:v>
                </c:pt>
                <c:pt idx="13">
                  <c:v>92.751075999999998</c:v>
                </c:pt>
                <c:pt idx="14">
                  <c:v>93.933723000000001</c:v>
                </c:pt>
                <c:pt idx="15">
                  <c:v>94.753478999999999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6658432"/>
        <c:axId val="106660224"/>
      </c:barChart>
      <c:catAx>
        <c:axId val="106658432"/>
        <c:scaling>
          <c:orientation val="minMax"/>
        </c:scaling>
        <c:delete val="0"/>
        <c:axPos val="l"/>
        <c:majorTickMark val="out"/>
        <c:minorTickMark val="none"/>
        <c:tickLblPos val="nextTo"/>
        <c:crossAx val="106660224"/>
        <c:crosses val="autoZero"/>
        <c:auto val="1"/>
        <c:lblAlgn val="ctr"/>
        <c:lblOffset val="100"/>
        <c:noMultiLvlLbl val="0"/>
      </c:catAx>
      <c:valAx>
        <c:axId val="106660224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_-* #,##0_-;\-* #,##0_-;_-* &quot;-&quot;??_-;_-@_-" sourceLinked="1"/>
        <c:majorTickMark val="out"/>
        <c:minorTickMark val="none"/>
        <c:tickLblPos val="nextTo"/>
        <c:crossAx val="10665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[HIV, TB and malaria data2011_from ImpactDB_v910.xlsx]TBCompareCountries!PivotTable6</c:name>
    <c:fmtId val="-1"/>
  </c:pivotSource>
  <c:chart>
    <c:title>
      <c:tx>
        <c:strRef>
          <c:f>TBCompareCountries!$A$124</c:f>
          <c:strCache>
            <c:ptCount val="1"/>
            <c:pt idx="0">
              <c:v>% of notified HIV+ TB cases started on ART</c:v>
            </c:pt>
          </c:strCache>
        </c:strRef>
      </c:tx>
      <c:overlay val="0"/>
      <c:txPr>
        <a:bodyPr/>
        <a:lstStyle/>
        <a:p>
          <a:pPr>
            <a:defRPr sz="1100" i="1"/>
          </a:pPr>
          <a:endParaRPr lang="en-US"/>
        </a:p>
      </c:txPr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spPr>
          <a:solidFill>
            <a:srgbClr val="00B050"/>
          </a:solidFill>
        </c:spP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3"/>
        <c:spPr>
          <a:solidFill>
            <a:srgbClr val="00B050"/>
          </a:solidFill>
        </c:spP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5"/>
        <c:spPr>
          <a:solidFill>
            <a:srgbClr val="00B050"/>
          </a:solidFill>
        </c:spPr>
      </c:pivotFmt>
      <c:pivotFmt>
        <c:idx val="6"/>
        <c:spPr>
          <a:solidFill>
            <a:srgbClr val="FFC000"/>
          </a:solidFill>
        </c:spPr>
      </c:pivotFmt>
      <c:pivotFmt>
        <c:idx val="7"/>
        <c:spPr>
          <a:solidFill>
            <a:srgbClr val="FFC000"/>
          </a:solidFill>
        </c:spPr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9"/>
        <c:spPr>
          <a:solidFill>
            <a:srgbClr val="FFC000"/>
          </a:solidFill>
        </c:spPr>
      </c:pivotFmt>
      <c:pivotFmt>
        <c:idx val="10"/>
        <c:spPr>
          <a:solidFill>
            <a:srgbClr val="00B050"/>
          </a:solidFill>
        </c:spPr>
      </c:pivotFmt>
      <c:pivotFmt>
        <c:idx val="1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2"/>
        <c:spPr>
          <a:solidFill>
            <a:srgbClr val="FFC000"/>
          </a:solidFill>
        </c:spPr>
      </c:pivotFmt>
      <c:pivotFmt>
        <c:idx val="13"/>
        <c:spPr>
          <a:solidFill>
            <a:srgbClr val="00B050"/>
          </a:solidFill>
        </c:spP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TBCompareCountries!$A$124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7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2"/>
            <c:invertIfNegative val="0"/>
            <c:bubble3D val="0"/>
          </c:dPt>
          <c:cat>
            <c:strRef>
              <c:f>TBCompareCountries!$A$124</c:f>
              <c:strCache>
                <c:ptCount val="12"/>
                <c:pt idx="0">
                  <c:v>Kazakhstan</c:v>
                </c:pt>
                <c:pt idx="1">
                  <c:v>Uzbekistan</c:v>
                </c:pt>
                <c:pt idx="2">
                  <c:v>Ukraine</c:v>
                </c:pt>
                <c:pt idx="3">
                  <c:v>Estonia</c:v>
                </c:pt>
                <c:pt idx="4">
                  <c:v>Tajikistan</c:v>
                </c:pt>
                <c:pt idx="5">
                  <c:v>Georgia</c:v>
                </c:pt>
                <c:pt idx="6">
                  <c:v>Armenia</c:v>
                </c:pt>
                <c:pt idx="7">
                  <c:v>Romania</c:v>
                </c:pt>
                <c:pt idx="8">
                  <c:v>Turkey</c:v>
                </c:pt>
                <c:pt idx="9">
                  <c:v>Bulgaria</c:v>
                </c:pt>
                <c:pt idx="10">
                  <c:v>Albania</c:v>
                </c:pt>
                <c:pt idx="11">
                  <c:v>Global Target (by 2015)</c:v>
                </c:pt>
              </c:strCache>
            </c:strRef>
          </c:cat>
          <c:val>
            <c:numRef>
              <c:f>TBCompareCountries!$A$124</c:f>
              <c:numCache>
                <c:formatCode>_-* #,##0_-;\-* #,##0_-;_-* "-"??_-;_-@_-</c:formatCode>
                <c:ptCount val="12"/>
                <c:pt idx="0">
                  <c:v>9.0909089999999999</c:v>
                </c:pt>
                <c:pt idx="1">
                  <c:v>31.501830999999999</c:v>
                </c:pt>
                <c:pt idx="2">
                  <c:v>44.137112000000002</c:v>
                </c:pt>
                <c:pt idx="3">
                  <c:v>55.319149000000003</c:v>
                </c:pt>
                <c:pt idx="4">
                  <c:v>57.391303999999998</c:v>
                </c:pt>
                <c:pt idx="5">
                  <c:v>76</c:v>
                </c:pt>
                <c:pt idx="6">
                  <c:v>79.591835000000003</c:v>
                </c:pt>
                <c:pt idx="7">
                  <c:v>88.333336000000003</c:v>
                </c:pt>
                <c:pt idx="8">
                  <c:v>93.103447000000003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685056"/>
        <c:axId val="96703232"/>
      </c:barChart>
      <c:catAx>
        <c:axId val="96685056"/>
        <c:scaling>
          <c:orientation val="minMax"/>
        </c:scaling>
        <c:delete val="0"/>
        <c:axPos val="l"/>
        <c:majorTickMark val="out"/>
        <c:minorTickMark val="none"/>
        <c:tickLblPos val="nextTo"/>
        <c:crossAx val="96703232"/>
        <c:crosses val="autoZero"/>
        <c:auto val="1"/>
        <c:lblAlgn val="ctr"/>
        <c:lblOffset val="100"/>
        <c:noMultiLvlLbl val="0"/>
      </c:catAx>
      <c:valAx>
        <c:axId val="96703232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_-* #,##0_-;\-* #,##0_-;_-* &quot;-&quot;??_-;_-@_-" sourceLinked="1"/>
        <c:majorTickMark val="out"/>
        <c:minorTickMark val="none"/>
        <c:tickLblPos val="nextTo"/>
        <c:crossAx val="96685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[HIV, TB and malaria data2011_from ImpactDB_v910.xlsx]TBCompareCountries!PivotTable3</c:name>
    <c:fmtId val="-1"/>
  </c:pivotSource>
  <c:chart>
    <c:title>
      <c:tx>
        <c:strRef>
          <c:f>TBCompareCountries!$A$250</c:f>
          <c:strCache>
            <c:ptCount val="1"/>
            <c:pt idx="0">
              <c:v>% of diagnosed MDR-TB started on second-line drugs</c:v>
            </c:pt>
          </c:strCache>
        </c:strRef>
      </c:tx>
      <c:overlay val="0"/>
      <c:txPr>
        <a:bodyPr/>
        <a:lstStyle/>
        <a:p>
          <a:pPr>
            <a:defRPr sz="1100" i="1"/>
          </a:pPr>
          <a:endParaRPr lang="en-US"/>
        </a:p>
      </c:txPr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spPr>
          <a:solidFill>
            <a:srgbClr val="00B050"/>
          </a:solidFill>
        </c:spP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3"/>
        <c:spPr>
          <a:solidFill>
            <a:srgbClr val="00B050"/>
          </a:solidFill>
        </c:spP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5"/>
        <c:spPr>
          <a:solidFill>
            <a:srgbClr val="00B050"/>
          </a:solidFill>
        </c:spPr>
      </c:pivotFmt>
      <c:pivotFmt>
        <c:idx val="6"/>
        <c:spPr>
          <a:solidFill>
            <a:srgbClr val="FFC000"/>
          </a:solidFill>
        </c:spPr>
      </c:pivotFmt>
      <c:pivotFmt>
        <c:idx val="7"/>
        <c:spPr>
          <a:solidFill>
            <a:srgbClr val="FFC000"/>
          </a:solidFill>
        </c:spPr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9"/>
        <c:spPr>
          <a:solidFill>
            <a:srgbClr val="FFC000"/>
          </a:solidFill>
        </c:spPr>
      </c:pivotFmt>
      <c:pivotFmt>
        <c:idx val="10"/>
        <c:spPr>
          <a:solidFill>
            <a:srgbClr val="00B050"/>
          </a:solidFill>
        </c:spPr>
      </c:pivotFmt>
      <c:pivotFmt>
        <c:idx val="1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2"/>
        <c:spPr>
          <a:solidFill>
            <a:srgbClr val="FFC000"/>
          </a:solidFill>
        </c:spPr>
      </c:pivotFmt>
      <c:pivotFmt>
        <c:idx val="13"/>
        <c:spPr>
          <a:solidFill>
            <a:srgbClr val="00B050"/>
          </a:solidFill>
        </c:spP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TBCompareCountries!$A$250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Pt>
            <c:idx val="2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1"/>
            <c:invertIfNegative val="0"/>
            <c:bubble3D val="0"/>
          </c:dPt>
          <c:dPt>
            <c:idx val="19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TBCompareCountries!$A$250</c:f>
              <c:strCache>
                <c:ptCount val="20"/>
                <c:pt idx="0">
                  <c:v>Albania</c:v>
                </c:pt>
                <c:pt idx="1">
                  <c:v>Croatia</c:v>
                </c:pt>
                <c:pt idx="2">
                  <c:v>Bosnia and Herzegovina</c:v>
                </c:pt>
                <c:pt idx="3">
                  <c:v>Kyrgyzstan</c:v>
                </c:pt>
                <c:pt idx="4">
                  <c:v>Uzbekistan</c:v>
                </c:pt>
                <c:pt idx="5">
                  <c:v>Tajikistan</c:v>
                </c:pt>
                <c:pt idx="6">
                  <c:v>Kazakhstan</c:v>
                </c:pt>
                <c:pt idx="7">
                  <c:v>Bulgaria</c:v>
                </c:pt>
                <c:pt idx="8">
                  <c:v>Republic of Moldova</c:v>
                </c:pt>
                <c:pt idx="9">
                  <c:v>Azerbaijan</c:v>
                </c:pt>
                <c:pt idx="10">
                  <c:v>Ukraine</c:v>
                </c:pt>
                <c:pt idx="11">
                  <c:v>Belarus</c:v>
                </c:pt>
                <c:pt idx="12">
                  <c:v>Estonia</c:v>
                </c:pt>
                <c:pt idx="13">
                  <c:v>Russian Federation</c:v>
                </c:pt>
                <c:pt idx="14">
                  <c:v>Turkey</c:v>
                </c:pt>
                <c:pt idx="15">
                  <c:v>Romania</c:v>
                </c:pt>
                <c:pt idx="16">
                  <c:v>The Former Yugoslav Republic of Macedonia</c:v>
                </c:pt>
                <c:pt idx="17">
                  <c:v>Armenia</c:v>
                </c:pt>
                <c:pt idx="18">
                  <c:v>Georgia</c:v>
                </c:pt>
                <c:pt idx="19">
                  <c:v>Global Target (by 2015)</c:v>
                </c:pt>
              </c:strCache>
            </c:strRef>
          </c:cat>
          <c:val>
            <c:numRef>
              <c:f>TBCompareCountries!$A$250</c:f>
              <c:numCache>
                <c:formatCode>_-* #,##0_-;\-* #,##0_-;_-* "-"??_-;_-@_-</c:formatCode>
                <c:ptCount val="20"/>
                <c:pt idx="0">
                  <c:v>0</c:v>
                </c:pt>
                <c:pt idx="1">
                  <c:v>25</c:v>
                </c:pt>
                <c:pt idx="2">
                  <c:v>42.857143000000001</c:v>
                </c:pt>
                <c:pt idx="3">
                  <c:v>61.042183000000001</c:v>
                </c:pt>
                <c:pt idx="4">
                  <c:v>61.732852999999999</c:v>
                </c:pt>
                <c:pt idx="5">
                  <c:v>62.251655999999997</c:v>
                </c:pt>
                <c:pt idx="6">
                  <c:v>63.228943000000001</c:v>
                </c:pt>
                <c:pt idx="7">
                  <c:v>76.363640000000004</c:v>
                </c:pt>
                <c:pt idx="8">
                  <c:v>76.423575999999997</c:v>
                </c:pt>
                <c:pt idx="9">
                  <c:v>79.224379999999996</c:v>
                </c:pt>
                <c:pt idx="10">
                  <c:v>89.059235000000001</c:v>
                </c:pt>
                <c:pt idx="11">
                  <c:v>90.715179000000006</c:v>
                </c:pt>
                <c:pt idx="12">
                  <c:v>96.153846999999999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6759168"/>
        <c:axId val="96765056"/>
      </c:barChart>
      <c:catAx>
        <c:axId val="96759168"/>
        <c:scaling>
          <c:orientation val="minMax"/>
        </c:scaling>
        <c:delete val="0"/>
        <c:axPos val="l"/>
        <c:majorTickMark val="none"/>
        <c:minorTickMark val="none"/>
        <c:tickLblPos val="nextTo"/>
        <c:crossAx val="96765056"/>
        <c:crosses val="autoZero"/>
        <c:auto val="1"/>
        <c:lblAlgn val="ctr"/>
        <c:lblOffset val="100"/>
        <c:noMultiLvlLbl val="0"/>
      </c:catAx>
      <c:valAx>
        <c:axId val="96765056"/>
        <c:scaling>
          <c:orientation val="minMax"/>
        </c:scaling>
        <c:delete val="1"/>
        <c:axPos val="b"/>
        <c:numFmt formatCode="_-* #,##0_-;\-* #,##0_-;_-* &quot;-&quot;??_-;_-@_-" sourceLinked="1"/>
        <c:majorTickMark val="out"/>
        <c:minorTickMark val="none"/>
        <c:tickLblPos val="nextTo"/>
        <c:crossAx val="9675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btType xmlns="1eaefc63-d69c-4f51-988e-1b456dd93559" xsi:nil="true"/>
    <gfGrant xmlns="1eaefc63-d69c-4f51-988e-1b456dd93559" xsi:nil="true"/>
    <GrantDocType xmlns="1eaefc63-d69c-4f51-988e-1b456dd93559" xsi:nil="true"/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0x010100C153CD978446E541813549631A403AC7</ContentTypeId>
    <IsFinal xmlns="97cd53c1-4684-41e5-8135-49631a403ac7">NO</IsFinal>
    <Round xmlns="97CD53C1-4684-41E5-8135-49631A403AC7" xsi:nil="true"/>
    <Document_x0020_Language xmlns="97CD53C1-4684-41E5-8135-49631A403AC7" xsi:nil="true"/>
    <Country xmlns="97CD53C1-4684-41E5-8135-49631A403AC7" xsi:nil="true"/>
    <Grant_x0020_ID xmlns="97CD53C1-4684-41E5-8135-49631A403A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3CD978446E541813549631A403AC7" ma:contentTypeVersion="6" ma:contentTypeDescription="Create a new document." ma:contentTypeScope="" ma:versionID="ce988b005ca2905bdc5e8a63fc4ff801">
  <xsd:schema xmlns:xsd="http://www.w3.org/2001/XMLSchema" xmlns:p="http://schemas.microsoft.com/office/2006/metadata/properties" xmlns:ns1="http://schemas.microsoft.com/sharepoint/v3" xmlns:ns2="1eaefc63-d69c-4f51-988e-1b456dd93559" xmlns:ns3="97cd53c1-4684-41e5-8135-49631a403ac7" xmlns:ns4="97CD53C1-4684-41E5-8135-49631A403AC7" targetNamespace="http://schemas.microsoft.com/office/2006/metadata/properties" ma:root="true" ma:fieldsID="70da48a47194e7514407c161ef25d337" ns1:_="" ns2:_="" ns3:_="" ns4:_="">
    <xsd:import namespace="http://schemas.microsoft.com/sharepoint/v3"/>
    <xsd:import namespace="1eaefc63-d69c-4f51-988e-1b456dd93559"/>
    <xsd:import namespace="97cd53c1-4684-41e5-8135-49631a403ac7"/>
    <xsd:import namespace="97CD53C1-4684-41E5-8135-49631A403AC7"/>
    <xsd:element name="properties">
      <xsd:complexType>
        <xsd:sequence>
          <xsd:element name="documentManagement">
            <xsd:complexType>
              <xsd:all>
                <xsd:element ref="ns2:gfGrant" minOccurs="0"/>
                <xsd:element ref="ns2:GrantDocType" minOccurs="0"/>
                <xsd:element ref="ns2:SubtType" minOccurs="0"/>
                <xsd:element ref="ns3:IsFinal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Grant_x0020_ID" minOccurs="0"/>
                <xsd:element ref="ns4:Country" minOccurs="0"/>
                <xsd:element ref="ns4:Document_x0020_Language" minOccurs="0"/>
                <xsd:element ref="ns4:Roun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>
      <xsd:simpleType>
        <xsd:restriction base="dms:Text"/>
      </xsd:simpleType>
    </xsd:element>
    <xsd:element name="_SharedFileIndex" ma:index="12" nillable="true" ma:displayName="Shared File Index" ma:hidden="true" ma:internalName="_SharedFileIndex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>
      <xsd:simpleType>
        <xsd:restriction base="dms:Text"/>
      </xsd:simpleType>
    </xsd:element>
    <xsd:element name="xd_ProgID" ma:index="15" nillable="true" ma:displayName="Html File Link" ma:hidden="true" ma:internalName="xd_ProgID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1eaefc63-d69c-4f51-988e-1b456dd93559" elementFormDefault="qualified">
    <xsd:import namespace="http://schemas.microsoft.com/office/2006/documentManagement/types"/>
    <xsd:element name="gfGrant" ma:index="2" nillable="true" ma:displayName="Grant" ma:list="{1149e032-0cc0-4c62-bd02-6853776f06e5}" ma:internalName="gfGrant" ma:showField="Title" ma:web="1eaefc63-d69c-4f51-988e-1b456dd93559">
      <xsd:simpleType>
        <xsd:restriction base="dms:Lookup"/>
      </xsd:simpleType>
    </xsd:element>
    <xsd:element name="GrantDocType" ma:index="3" nillable="true" ma:displayName="Document type" ma:description="Please select Grant Document Type" ma:list="{cf59afc2-f10b-4b65-8ef6-9a8ce10b0870}" ma:internalName="GrantDocType" ma:showField="Title" ma:web="1eaefc63-d69c-4f51-988e-1b456dd93559">
      <xsd:simpleType>
        <xsd:restriction base="dms:Lookup"/>
      </xsd:simpleType>
    </xsd:element>
    <xsd:element name="SubtType" ma:index="4" nillable="true" ma:displayName="Sub Type" ma:description="Subtype description, Maximum of 255 characters, e.g. IL1 , IL2" ma:internalName="SubtTyp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7cd53c1-4684-41e5-8135-49631a403ac7" elementFormDefault="qualified">
    <xsd:import namespace="http://schemas.microsoft.com/office/2006/documentManagement/types"/>
    <xsd:element name="IsFinal" ma:index="5" nillable="true" ma:displayName="IsFinal" ma:default="NO" ma:description="Please specify if this is the final version of the document" ma:format="RadioButtons" ma:internalName="IsFinal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dms="http://schemas.microsoft.com/office/2006/documentManagement/types" targetNamespace="97CD53C1-4684-41E5-8135-49631A403AC7" elementFormDefault="qualified">
    <xsd:import namespace="http://schemas.microsoft.com/office/2006/documentManagement/types"/>
    <xsd:element name="Grant_x0020_ID" ma:index="70" nillable="true" ma:displayName="Grant ID" ma:description="The Grant ID this document is associated with" ma:list="{8CB72AC5-DE03-4AC2-BAEC-C94E57AF7E63}" ma:internalName="Grant_x0020_ID" ma:showField="Grant_x0020_ID">
      <xsd:simpleType>
        <xsd:restriction base="dms:Lookup"/>
      </xsd:simpleType>
    </xsd:element>
    <xsd:element name="Country" ma:index="71" nillable="true" ma:displayName="Country" ma:list="{A0D2F120-17C8-4871-8903-10B413B33DB1}" ma:internalName="Country" ma:showField="Title">
      <xsd:simpleType>
        <xsd:restriction base="dms:Lookup"/>
      </xsd:simpleType>
    </xsd:element>
    <xsd:element name="Document_x0020_Language" ma:index="72" nillable="true" ma:displayName="Document Language" ma:description="Language the document is written in" ma:list="{68E7BCA7-DDF1-4B10-B428-D9E83774CEE4}" ma:internalName="Document_x0020_Language" ma:showField="Title">
      <xsd:simpleType>
        <xsd:restriction base="dms:Lookup"/>
      </xsd:simpleType>
    </xsd:element>
    <xsd:element name="Round" ma:index="73" nillable="true" ma:displayName="Round" ma:description="The round this document is associated with (1,2,3,4,5)" ma:list="{D91426ED-289B-4506-BEC5-9CF13327DBBC}" ma:internalName="Round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6368-14B5-4FC6-9FF9-860D1FEDD875}">
  <ds:schemaRefs>
    <ds:schemaRef ds:uri="http://schemas.microsoft.com/office/2006/metadata/properties"/>
    <ds:schemaRef ds:uri="97CD53C1-4684-41E5-8135-49631A403AC7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97cd53c1-4684-41e5-8135-49631a403ac7"/>
    <ds:schemaRef ds:uri="1eaefc63-d69c-4f51-988e-1b456dd93559"/>
  </ds:schemaRefs>
</ds:datastoreItem>
</file>

<file path=customXml/itemProps2.xml><?xml version="1.0" encoding="utf-8"?>
<ds:datastoreItem xmlns:ds="http://schemas.openxmlformats.org/officeDocument/2006/customXml" ds:itemID="{EF6F52A7-8FEC-462A-87B3-376595414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6D2A5-F993-4240-BBDB-1222A3377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aefc63-d69c-4f51-988e-1b456dd93559"/>
    <ds:schemaRef ds:uri="97cd53c1-4684-41e5-8135-49631a403ac7"/>
    <ds:schemaRef ds:uri="97CD53C1-4684-41E5-8135-49631A403A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89EEBF-AE0C-4E63-8141-AC0714CE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22218215.dotm</Template>
  <TotalTime>0</TotalTime>
  <Pages>12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2013-05-08T17:00:00Z</dcterms:created>
  <dcterms:modified xsi:type="dcterms:W3CDTF">2013-05-08T17:03:00Z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0x010100C153CD978446E541813549631A403AC7</vt:lpwstr>
  </property>
</Properties>
</file>