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45" w:rsidRDefault="003D7C54" w:rsidP="003F1845">
      <w:pPr>
        <w:tabs>
          <w:tab w:val="right" w:pos="-1800"/>
          <w:tab w:val="left" w:pos="1440"/>
        </w:tabs>
        <w:spacing w:after="0" w:line="240" w:lineRule="auto"/>
        <w:ind w:right="-613"/>
        <w:jc w:val="both"/>
        <w:rPr>
          <w:rFonts w:ascii="Arial" w:eastAsia="SimSun" w:hAnsi="Arial"/>
          <w:lang w:eastAsia="zh-CN"/>
        </w:rPr>
      </w:pPr>
      <w:r w:rsidRPr="004302E7">
        <w:rPr>
          <w:rFonts w:ascii="Arial" w:eastAsia="SimSun" w:hAnsi="Arial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7B6F79B9" wp14:editId="7E9DB958">
            <wp:simplePos x="0" y="0"/>
            <wp:positionH relativeFrom="column">
              <wp:posOffset>-310515</wp:posOffset>
            </wp:positionH>
            <wp:positionV relativeFrom="paragraph">
              <wp:posOffset>-457835</wp:posOffset>
            </wp:positionV>
            <wp:extent cx="3853011" cy="416872"/>
            <wp:effectExtent l="0" t="0" r="0" b="2540"/>
            <wp:wrapNone/>
            <wp:docPr id="5" name="Picture 5" descr="C:\Users\LStocker\AppData\Local\Microsoft\Windows\Temporary Internet Files\Content.Outlook\KTRTSE30\TheGlobalFundLogo_Whit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tocker\AppData\Local\Microsoft\Windows\Temporary Internet Files\Content.Outlook\KTRTSE30\TheGlobalFundLogo_White_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11" cy="4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45" w:rsidRPr="0008527A">
        <w:rPr>
          <w:rFonts w:ascii="Arial" w:eastAsia="SimSun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392F0" wp14:editId="6EE8EA16">
                <wp:simplePos x="0" y="0"/>
                <wp:positionH relativeFrom="page">
                  <wp:align>left</wp:align>
                </wp:positionH>
                <wp:positionV relativeFrom="paragraph">
                  <wp:posOffset>-630555</wp:posOffset>
                </wp:positionV>
                <wp:extent cx="7567930" cy="2438400"/>
                <wp:effectExtent l="0" t="0" r="139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24384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9B0F743" id="Rectangle 15" o:spid="_x0000_s1026" style="position:absolute;margin-left:0;margin-top:-49.65pt;width:595.9pt;height:192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" fillcolor="#1f497d" strokecolor="#385d8a" strokeweight="2pt">
                <w10:wrap anchorx="page"/>
              </v:rect>
            </w:pict>
          </mc:Fallback>
        </mc:AlternateContent>
      </w:r>
    </w:p>
    <w:p w:rsidR="003F1845" w:rsidRDefault="003F1845" w:rsidP="003F1845">
      <w:pPr>
        <w:tabs>
          <w:tab w:val="right" w:pos="-1800"/>
          <w:tab w:val="left" w:pos="1440"/>
        </w:tabs>
        <w:spacing w:after="0" w:line="240" w:lineRule="auto"/>
        <w:ind w:right="-613"/>
        <w:jc w:val="both"/>
        <w:rPr>
          <w:rFonts w:ascii="Arial" w:eastAsia="SimSun" w:hAnsi="Arial"/>
          <w:lang w:eastAsia="zh-CN"/>
        </w:rPr>
      </w:pPr>
    </w:p>
    <w:p w:rsidR="003F1845" w:rsidRDefault="003F1845" w:rsidP="003F1845">
      <w:pPr>
        <w:tabs>
          <w:tab w:val="right" w:pos="-1800"/>
          <w:tab w:val="left" w:pos="1440"/>
        </w:tabs>
        <w:spacing w:after="0" w:line="240" w:lineRule="auto"/>
        <w:ind w:right="-613"/>
        <w:jc w:val="both"/>
        <w:rPr>
          <w:rFonts w:ascii="Arial" w:eastAsia="SimSun" w:hAnsi="Arial"/>
          <w:lang w:eastAsia="zh-CN"/>
        </w:rPr>
      </w:pPr>
      <w:r w:rsidRPr="00E92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72669" wp14:editId="76196448">
                <wp:simplePos x="0" y="0"/>
                <wp:positionH relativeFrom="page">
                  <wp:posOffset>30480</wp:posOffset>
                </wp:positionH>
                <wp:positionV relativeFrom="paragraph">
                  <wp:posOffset>120650</wp:posOffset>
                </wp:positionV>
                <wp:extent cx="7539355" cy="1363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9D" w:rsidRPr="00D55F02" w:rsidRDefault="00FB6C9D" w:rsidP="003D7C5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100A4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ЗАЯВЛЕНИЕ: </w:t>
                            </w:r>
                            <w:r w:rsidRPr="00C401DD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  <w:t>ЗАПРОС НА ФИНАНСИРОВАНИЕ</w:t>
                            </w:r>
                          </w:p>
                          <w:p w:rsidR="00FB6C9D" w:rsidRPr="00D55F02" w:rsidRDefault="00FB6C9D" w:rsidP="003D7C54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С УЧЕТОМ СУЩЕСТВЕННЫХ ИЗМЕНЕНИЙ</w:t>
                            </w:r>
                          </w:p>
                          <w:p w:rsidR="00FB6C9D" w:rsidRPr="003D7C54" w:rsidRDefault="00FB6C9D" w:rsidP="003F1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2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4pt;margin-top:9.5pt;width:593.6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" filled="f" stroked="f" strokeweight=".5pt">
                <v:textbox>
                  <w:txbxContent>
                    <w:p w:rsidR="00FB6C9D" w:rsidRPr="00D55F02" w:rsidRDefault="00FB6C9D" w:rsidP="003D7C54">
                      <w:pPr>
                        <w:spacing w:after="0"/>
                        <w:jc w:val="cent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100A4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  <w:t xml:space="preserve">ЗАЯВЛЕНИЕ: </w:t>
                      </w:r>
                      <w:r w:rsidRPr="00C401DD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  <w:t>ЗАПРОС НА ФИНАНСИРОВАНИЕ</w:t>
                      </w:r>
                    </w:p>
                    <w:p w:rsidR="00FB6C9D" w:rsidRPr="00D55F02" w:rsidRDefault="00FB6C9D" w:rsidP="003D7C54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С УЧЕТОМ СУЩЕСТВЕННЫХ ИЗМЕНЕНИЙ</w:t>
                      </w:r>
                    </w:p>
                    <w:p w:rsidR="00FB6C9D" w:rsidRPr="003D7C54" w:rsidRDefault="00FB6C9D" w:rsidP="003F1845"/>
                  </w:txbxContent>
                </v:textbox>
                <w10:wrap anchorx="page"/>
              </v:shape>
            </w:pict>
          </mc:Fallback>
        </mc:AlternateContent>
      </w:r>
    </w:p>
    <w:p w:rsidR="003F1845" w:rsidRDefault="003F1845" w:rsidP="003F1845">
      <w:pPr>
        <w:tabs>
          <w:tab w:val="right" w:pos="-1800"/>
          <w:tab w:val="left" w:pos="1440"/>
        </w:tabs>
        <w:spacing w:after="0" w:line="240" w:lineRule="auto"/>
        <w:ind w:right="-613"/>
        <w:jc w:val="both"/>
        <w:rPr>
          <w:rFonts w:ascii="Arial" w:eastAsia="SimSun" w:hAnsi="Arial"/>
          <w:lang w:eastAsia="zh-CN"/>
        </w:rPr>
      </w:pPr>
    </w:p>
    <w:p w:rsidR="003F1845" w:rsidRPr="00E923EC" w:rsidRDefault="003F1845" w:rsidP="003F1845">
      <w:pPr>
        <w:tabs>
          <w:tab w:val="right" w:pos="-1800"/>
          <w:tab w:val="left" w:pos="1440"/>
        </w:tabs>
        <w:spacing w:after="0" w:line="240" w:lineRule="auto"/>
        <w:ind w:right="-613"/>
        <w:jc w:val="both"/>
        <w:rPr>
          <w:rFonts w:ascii="Arial" w:eastAsia="SimSun" w:hAnsi="Arial"/>
          <w:lang w:eastAsia="zh-CN"/>
        </w:rPr>
      </w:pPr>
    </w:p>
    <w:p w:rsidR="003F1845" w:rsidRDefault="003F1845" w:rsidP="003F1845">
      <w:pPr>
        <w:rPr>
          <w:noProof/>
          <w:lang w:val="es-EC" w:eastAsia="es-EC"/>
        </w:rPr>
      </w:pPr>
      <w:r w:rsidRPr="001E3217">
        <w:rPr>
          <w:noProof/>
          <w:lang w:val="es-EC" w:eastAsia="es-EC"/>
        </w:rPr>
        <w:t xml:space="preserve"> </w:t>
      </w:r>
    </w:p>
    <w:p w:rsidR="003F1845" w:rsidRDefault="003F1845" w:rsidP="003F1845">
      <w:pPr>
        <w:rPr>
          <w:noProof/>
          <w:lang w:val="es-EC" w:eastAsia="es-EC"/>
        </w:rPr>
      </w:pPr>
    </w:p>
    <w:p w:rsidR="003F1845" w:rsidRDefault="003F1845" w:rsidP="003F1845">
      <w:pPr>
        <w:rPr>
          <w:noProof/>
          <w:lang w:val="es-EC" w:eastAsia="es-EC"/>
        </w:rPr>
      </w:pPr>
    </w:p>
    <w:p w:rsidR="003F1845" w:rsidRDefault="003F1845" w:rsidP="003F1845">
      <w:pPr>
        <w:rPr>
          <w:noProof/>
          <w:lang w:val="es-EC" w:eastAsia="es-EC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9E61EB" w:rsidRPr="0048135A" w:rsidTr="00DC3DD1">
        <w:trPr>
          <w:trHeight w:val="558"/>
        </w:trPr>
        <w:tc>
          <w:tcPr>
            <w:tcW w:w="9209" w:type="dxa"/>
            <w:gridSpan w:val="4"/>
            <w:shd w:val="clear" w:color="auto" w:fill="1F497D"/>
            <w:vAlign w:val="center"/>
          </w:tcPr>
          <w:p w:rsidR="009E61EB" w:rsidRPr="006A317A" w:rsidRDefault="009E61EB" w:rsidP="00DC3DD1">
            <w:pPr>
              <w:tabs>
                <w:tab w:val="right" w:pos="-1800"/>
                <w:tab w:val="left" w:pos="1440"/>
              </w:tabs>
              <w:rPr>
                <w:rFonts w:ascii="Arial" w:eastAsia="SimSun" w:hAnsi="Arial"/>
                <w:b/>
              </w:rPr>
            </w:pPr>
            <w:r>
              <w:br w:type="page"/>
            </w:r>
            <w:r w:rsidRPr="006A317A">
              <w:rPr>
                <w:rFonts w:ascii="Arial" w:hAnsi="Arial"/>
                <w:b/>
                <w:color w:val="FFFFFF" w:themeColor="background1"/>
                <w:shd w:val="clear" w:color="auto" w:fill="1F497D"/>
              </w:rPr>
              <w:t>КРАТКАЯ ИНФОРМАЦИЯ</w:t>
            </w:r>
          </w:p>
        </w:tc>
      </w:tr>
      <w:tr w:rsidR="009E61EB" w:rsidRPr="0048135A" w:rsidTr="00DC3DD1">
        <w:trPr>
          <w:trHeight w:val="556"/>
        </w:trPr>
        <w:tc>
          <w:tcPr>
            <w:tcW w:w="2263" w:type="dxa"/>
            <w:shd w:val="clear" w:color="auto" w:fill="F2F2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-613"/>
              <w:jc w:val="both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</w:rPr>
              <w:t>Кандидат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9E61EB" w:rsidRPr="00B51C22" w:rsidRDefault="009E61EB" w:rsidP="00DC3DD1">
            <w:pPr>
              <w:tabs>
                <w:tab w:val="right" w:pos="-1800"/>
                <w:tab w:val="left" w:pos="1440"/>
              </w:tabs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Страновой координационный комитет, Казахстан</w:t>
            </w:r>
          </w:p>
        </w:tc>
      </w:tr>
      <w:tr w:rsidR="009E61EB" w:rsidRPr="0048135A" w:rsidTr="00DC3DD1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34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  <w:bCs/>
              </w:rPr>
              <w:t>Компонент (компоненты)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9E61EB" w:rsidRPr="00B51C22" w:rsidRDefault="009E61EB" w:rsidP="00DC3DD1">
            <w:pPr>
              <w:tabs>
                <w:tab w:val="right" w:pos="-1800"/>
                <w:tab w:val="left" w:pos="1440"/>
              </w:tabs>
              <w:jc w:val="both"/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Туберкулез </w:t>
            </w:r>
          </w:p>
        </w:tc>
      </w:tr>
      <w:tr w:rsidR="009E61EB" w:rsidRPr="009E61EB" w:rsidTr="00DC3DD1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34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</w:rPr>
              <w:t>Основной реципиент (основные реципиенты)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9E61EB" w:rsidRPr="00B51C22" w:rsidRDefault="009E61EB" w:rsidP="00DC3DD1">
            <w:pPr>
              <w:tabs>
                <w:tab w:val="right" w:pos="-1800"/>
                <w:tab w:val="left" w:pos="1440"/>
              </w:tabs>
              <w:ind w:right="34"/>
              <w:jc w:val="both"/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Национальный научный центр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фтизиопульмонологии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Министерства здравоохранения Республики Казахстан </w:t>
            </w:r>
          </w:p>
        </w:tc>
      </w:tr>
      <w:tr w:rsidR="009E61EB" w:rsidRPr="0048135A" w:rsidTr="00DC3DD1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34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</w:rPr>
              <w:t>Планируемая дата начала реализации гранта (грантов)</w:t>
            </w:r>
          </w:p>
        </w:tc>
        <w:tc>
          <w:tcPr>
            <w:tcW w:w="2268" w:type="dxa"/>
            <w:vAlign w:val="center"/>
          </w:tcPr>
          <w:p w:rsidR="009E61EB" w:rsidRPr="006F4BCB" w:rsidRDefault="009E61EB" w:rsidP="00DC3DD1">
            <w:pPr>
              <w:tabs>
                <w:tab w:val="right" w:pos="-1800"/>
                <w:tab w:val="left" w:pos="1440"/>
              </w:tabs>
              <w:ind w:right="-613"/>
              <w:jc w:val="both"/>
              <w:rPr>
                <w:rFonts w:ascii="Arial" w:eastAsia="SimSun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января 2020 г.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169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</w:rPr>
              <w:t>Планируемая дата окончания реализации гранта (грантов)</w:t>
            </w:r>
          </w:p>
        </w:tc>
        <w:tc>
          <w:tcPr>
            <w:tcW w:w="2410" w:type="dxa"/>
            <w:vAlign w:val="center"/>
          </w:tcPr>
          <w:p w:rsidR="009E61EB" w:rsidRPr="006F4BCB" w:rsidRDefault="009E61EB" w:rsidP="00DC3DD1">
            <w:pPr>
              <w:tabs>
                <w:tab w:val="right" w:pos="-1800"/>
                <w:tab w:val="left" w:pos="1440"/>
              </w:tabs>
              <w:ind w:right="-613"/>
              <w:rPr>
                <w:rFonts w:ascii="Arial" w:eastAsia="SimSun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>31 декабря 2022 г.</w:t>
            </w:r>
          </w:p>
        </w:tc>
      </w:tr>
      <w:tr w:rsidR="009E61EB" w:rsidRPr="0048135A" w:rsidTr="00DC3DD1">
        <w:trPr>
          <w:trHeight w:val="41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DC3DD1">
            <w:pPr>
              <w:tabs>
                <w:tab w:val="right" w:pos="-1800"/>
                <w:tab w:val="left" w:pos="1440"/>
              </w:tabs>
              <w:ind w:right="34"/>
              <w:rPr>
                <w:rFonts w:ascii="Arial" w:eastAsia="SimSun" w:hAnsi="Arial"/>
                <w:b/>
              </w:rPr>
            </w:pPr>
            <w:r w:rsidRPr="007B1395">
              <w:rPr>
                <w:rFonts w:ascii="Arial" w:hAnsi="Arial"/>
                <w:b/>
              </w:rPr>
              <w:t>Запрос на выделенное финансирование</w:t>
            </w:r>
          </w:p>
        </w:tc>
        <w:tc>
          <w:tcPr>
            <w:tcW w:w="2268" w:type="dxa"/>
            <w:vAlign w:val="center"/>
          </w:tcPr>
          <w:p w:rsidR="009E61EB" w:rsidRPr="00871296" w:rsidRDefault="009E61EB" w:rsidP="00DC3DD1">
            <w:pPr>
              <w:tabs>
                <w:tab w:val="right" w:pos="-1800"/>
                <w:tab w:val="left" w:pos="1440"/>
              </w:tabs>
              <w:ind w:right="-613"/>
              <w:rPr>
                <w:rFonts w:ascii="Arial" w:eastAsia="SimSun" w:hAnsi="Arial"/>
                <w:b/>
                <w:bCs/>
                <w:sz w:val="22"/>
                <w:szCs w:val="22"/>
                <w:lang w:eastAsia="zh-CN"/>
              </w:rPr>
            </w:pPr>
          </w:p>
          <w:p w:rsidR="009E61EB" w:rsidRPr="00871296" w:rsidRDefault="009E61EB" w:rsidP="001E4C80">
            <w:pPr>
              <w:tabs>
                <w:tab w:val="right" w:pos="-1800"/>
                <w:tab w:val="left" w:pos="1440"/>
              </w:tabs>
              <w:ind w:right="62"/>
              <w:rPr>
                <w:rFonts w:ascii="Arial" w:eastAsia="SimSun" w:hAnsi="Arial"/>
                <w:b/>
                <w:sz w:val="22"/>
                <w:szCs w:val="22"/>
              </w:rPr>
            </w:pPr>
            <w:r w:rsidRPr="00871296">
              <w:rPr>
                <w:rFonts w:ascii="Arial" w:hAnsi="Arial"/>
                <w:bCs/>
                <w:sz w:val="22"/>
                <w:szCs w:val="22"/>
              </w:rPr>
              <w:t>8 054 663 долларов США</w:t>
            </w:r>
          </w:p>
          <w:p w:rsidR="009E61EB" w:rsidRPr="0081038E" w:rsidRDefault="009E61EB" w:rsidP="00DC3DD1">
            <w:pPr>
              <w:tabs>
                <w:tab w:val="right" w:pos="-1800"/>
                <w:tab w:val="left" w:pos="1440"/>
              </w:tabs>
              <w:ind w:right="-613"/>
              <w:rPr>
                <w:rFonts w:ascii="Arial" w:eastAsia="SimSun" w:hAnsi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61EB" w:rsidRPr="007B1395" w:rsidRDefault="009E61EB" w:rsidP="006A6E2B">
            <w:pPr>
              <w:tabs>
                <w:tab w:val="right" w:pos="-1800"/>
                <w:tab w:val="left" w:pos="1440"/>
              </w:tabs>
              <w:ind w:right="169"/>
              <w:rPr>
                <w:rFonts w:ascii="Arial" w:eastAsia="SimSun" w:hAnsi="Arial"/>
                <w:b/>
              </w:rPr>
            </w:pPr>
            <w:proofErr w:type="spellStart"/>
            <w:r w:rsidRPr="007B1395">
              <w:rPr>
                <w:rFonts w:ascii="Arial" w:hAnsi="Arial"/>
                <w:b/>
              </w:rPr>
              <w:t>Приор</w:t>
            </w:r>
            <w:r w:rsidR="006A6E2B">
              <w:rPr>
                <w:rFonts w:ascii="Arial" w:hAnsi="Arial"/>
                <w:b/>
              </w:rPr>
              <w:t>и</w:t>
            </w:r>
            <w:r w:rsidRPr="007B1395">
              <w:rPr>
                <w:rFonts w:ascii="Arial" w:hAnsi="Arial"/>
                <w:b/>
              </w:rPr>
              <w:t>тезированный</w:t>
            </w:r>
            <w:proofErr w:type="spellEnd"/>
            <w:r w:rsidRPr="007B1395">
              <w:rPr>
                <w:rFonts w:ascii="Arial" w:hAnsi="Arial"/>
                <w:b/>
              </w:rPr>
              <w:t xml:space="preserve"> запрос на дополнительное финансирование сверх выделенной суммы </w:t>
            </w:r>
          </w:p>
        </w:tc>
        <w:tc>
          <w:tcPr>
            <w:tcW w:w="2410" w:type="dxa"/>
            <w:vAlign w:val="center"/>
          </w:tcPr>
          <w:p w:rsidR="009E61EB" w:rsidRPr="00291FFB" w:rsidRDefault="00291FFB" w:rsidP="001E4C80">
            <w:pPr>
              <w:tabs>
                <w:tab w:val="right" w:pos="-1800"/>
                <w:tab w:val="left" w:pos="1440"/>
              </w:tabs>
              <w:rPr>
                <w:rFonts w:ascii="Arial" w:eastAsia="SimSun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SimSun" w:hAnsi="Arial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9E61EB" w:rsidRPr="0048135A" w:rsidRDefault="009E61EB" w:rsidP="009E61EB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191"/>
      </w:tblGrid>
      <w:tr w:rsidR="009E61EB" w:rsidRPr="0048135A" w:rsidTr="00DC3DD1">
        <w:tc>
          <w:tcPr>
            <w:tcW w:w="9191" w:type="dxa"/>
            <w:shd w:val="clear" w:color="auto" w:fill="EEECE1"/>
          </w:tcPr>
          <w:p w:rsidR="009E61EB" w:rsidRPr="003F2160" w:rsidRDefault="009E61EB" w:rsidP="00DC3D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i/>
                <w:iCs/>
              </w:rPr>
            </w:pPr>
            <w:r w:rsidRPr="003F2160">
              <w:rPr>
                <w:rFonts w:ascii="Arial" w:hAnsi="Arial"/>
                <w:b/>
                <w:bCs/>
                <w:i/>
                <w:iCs/>
                <w:u w:val="single"/>
              </w:rPr>
              <w:t>ВАЖНОЕ ПРИМЕЧАНИЕ:</w:t>
            </w:r>
            <w:r w:rsidRPr="003F2160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  <w:p w:rsidR="009E61EB" w:rsidRPr="00D54577" w:rsidRDefault="009E61EB" w:rsidP="00DC3D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 заполнении настоящего запроса на финансирование просим:</w:t>
            </w:r>
          </w:p>
          <w:p w:rsidR="009E61EB" w:rsidRPr="00D54577" w:rsidRDefault="009E61EB" w:rsidP="009E6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/>
                <w:b w:val="0"/>
              </w:rPr>
            </w:pPr>
            <w:proofErr w:type="gramStart"/>
            <w:r>
              <w:rPr>
                <w:rFonts w:ascii="Arial" w:hAnsi="Arial"/>
                <w:b w:val="0"/>
              </w:rPr>
              <w:t>ознакомиться</w:t>
            </w:r>
            <w:proofErr w:type="gramEnd"/>
            <w:r>
              <w:rPr>
                <w:rFonts w:ascii="Arial" w:hAnsi="Arial"/>
                <w:b w:val="0"/>
              </w:rPr>
              <w:t xml:space="preserve"> с прилагаемыми </w:t>
            </w:r>
            <w:r>
              <w:rPr>
                <w:rFonts w:ascii="Arial" w:hAnsi="Arial"/>
              </w:rPr>
              <w:t>Инструкциями по составлению запросов на финансирование: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С учетом существенных изменений;</w:t>
            </w:r>
          </w:p>
          <w:p w:rsidR="009E61EB" w:rsidRPr="00D54577" w:rsidRDefault="009E61EB" w:rsidP="009E6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bCs/>
                <w:iCs/>
              </w:rPr>
              <w:t xml:space="preserve">ознакомиться с </w:t>
            </w:r>
            <w:r>
              <w:rPr>
                <w:rFonts w:ascii="Arial" w:hAnsi="Arial"/>
                <w:b w:val="0"/>
                <w:bCs/>
                <w:i/>
                <w:iCs/>
              </w:rPr>
              <w:t>Информационной запиской</w:t>
            </w:r>
            <w:r>
              <w:rPr>
                <w:rFonts w:ascii="Arial" w:hAnsi="Arial"/>
                <w:b w:val="0"/>
                <w:bCs/>
                <w:iCs/>
              </w:rPr>
              <w:t xml:space="preserve"> для каждого компонента, относящегося к запросу на финансирование, и с другими руководящими указаниями, имеющимися на </w:t>
            </w:r>
            <w:hyperlink r:id="rId9" w:history="1">
              <w:r>
                <w:rPr>
                  <w:rStyle w:val="Hyperlink"/>
                  <w:rFonts w:ascii="Arial" w:hAnsi="Arial"/>
                  <w:b w:val="0"/>
                  <w:bCs/>
                  <w:iCs/>
                </w:rPr>
                <w:t>сайте Глобального фонда</w:t>
              </w:r>
            </w:hyperlink>
            <w:r>
              <w:rPr>
                <w:rFonts w:ascii="Arial" w:hAnsi="Arial"/>
                <w:b w:val="0"/>
              </w:rPr>
              <w:t>;</w:t>
            </w:r>
          </w:p>
          <w:p w:rsidR="009E61EB" w:rsidRPr="00D54577" w:rsidRDefault="009E61EB" w:rsidP="009E6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заполнить и включить все обязательные приложения. Для этого см. контрольный перечень документов для подачи запросов в Приложении к Инструкциям;</w:t>
            </w:r>
          </w:p>
          <w:p w:rsidR="009E61EB" w:rsidRPr="00D54577" w:rsidRDefault="009E61EB" w:rsidP="009E6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обеспечить согласованность данных во всех документах.</w:t>
            </w:r>
          </w:p>
          <w:p w:rsidR="009E61EB" w:rsidRPr="00D54577" w:rsidRDefault="009E61EB" w:rsidP="00DC3D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3F2160">
              <w:rPr>
                <w:rFonts w:ascii="Arial" w:hAnsi="Arial"/>
                <w:b/>
              </w:rPr>
              <w:t>Кандидатам рекомендуется подать объединенный запрос на финансирование</w:t>
            </w:r>
            <w:r>
              <w:rPr>
                <w:rFonts w:ascii="Arial" w:hAnsi="Arial"/>
              </w:rPr>
              <w:t xml:space="preserve"> отвечающих критериям компонентов по заболеваниям и по созданию жизнеспособных и устойчивых систем для сохранения здоровья людей (ЖУССЗ). </w:t>
            </w:r>
          </w:p>
          <w:p w:rsidR="009E61EB" w:rsidRPr="0048135A" w:rsidRDefault="009E61EB" w:rsidP="00DC3D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</w:rPr>
            </w:pPr>
            <w:r w:rsidRPr="003F2160">
              <w:rPr>
                <w:rFonts w:ascii="Arial" w:hAnsi="Arial"/>
                <w:b/>
                <w:bCs/>
                <w:iCs/>
              </w:rPr>
              <w:t xml:space="preserve">Объединенные заявки в отношении ТБ/ВИЧ являются обязательными для определенного числа стран с высокими уровнями </w:t>
            </w:r>
            <w:proofErr w:type="spellStart"/>
            <w:r w:rsidRPr="003F2160">
              <w:rPr>
                <w:rFonts w:ascii="Arial" w:hAnsi="Arial"/>
                <w:b/>
                <w:bCs/>
                <w:iCs/>
              </w:rPr>
              <w:t>коинфекции</w:t>
            </w:r>
            <w:proofErr w:type="spellEnd"/>
            <w:r>
              <w:rPr>
                <w:rFonts w:ascii="Arial" w:hAnsi="Arial"/>
                <w:bCs/>
                <w:iCs/>
              </w:rPr>
              <w:t xml:space="preserve">. См. </w:t>
            </w:r>
            <w:hyperlink r:id="rId10" w:anchor="coreinformationnotes" w:history="1">
              <w:r>
                <w:rPr>
                  <w:rStyle w:val="Hyperlink"/>
                  <w:rFonts w:ascii="Arial" w:hAnsi="Arial"/>
                </w:rPr>
                <w:t>соответствующие указания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iCs/>
              </w:rPr>
              <w:t>для получения более подробной информации.</w:t>
            </w:r>
          </w:p>
        </w:tc>
      </w:tr>
    </w:tbl>
    <w:p w:rsidR="009E61EB" w:rsidRPr="009E61EB" w:rsidRDefault="009E61EB" w:rsidP="009E61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br/>
      </w:r>
      <w:r>
        <w:rPr>
          <w:rFonts w:ascii="Arial" w:hAnsi="Arial"/>
          <w:b/>
          <w:sz w:val="20"/>
          <w:szCs w:val="20"/>
        </w:rPr>
        <w:t xml:space="preserve">Настоящий запрос на финансирование включает следующие разделы: </w:t>
      </w:r>
    </w:p>
    <w:p w:rsidR="009E61EB" w:rsidRPr="009E61EB" w:rsidRDefault="009E61EB" w:rsidP="009E61EB">
      <w:pPr>
        <w:spacing w:before="240" w:after="0" w:line="240" w:lineRule="auto"/>
        <w:rPr>
          <w:rFonts w:ascii="Arial" w:hAnsi="Arial"/>
          <w:b/>
          <w:sz w:val="20"/>
          <w:szCs w:val="20"/>
        </w:rPr>
      </w:pPr>
      <w:r w:rsidRPr="00EF39D2">
        <w:rPr>
          <w:rFonts w:ascii="Arial" w:hAnsi="Arial"/>
          <w:b/>
          <w:sz w:val="20"/>
          <w:szCs w:val="20"/>
        </w:rPr>
        <w:t>Раздел 1:</w:t>
      </w:r>
      <w:r>
        <w:rPr>
          <w:rFonts w:ascii="Arial" w:hAnsi="Arial"/>
          <w:sz w:val="20"/>
          <w:szCs w:val="20"/>
        </w:rPr>
        <w:t xml:space="preserve"> Контекст разработки запроса на финансирование</w:t>
      </w:r>
    </w:p>
    <w:p w:rsidR="009E61EB" w:rsidRPr="009E61EB" w:rsidRDefault="009E61EB" w:rsidP="009E61E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F39D2">
        <w:rPr>
          <w:rFonts w:ascii="Arial" w:hAnsi="Arial"/>
          <w:b/>
          <w:sz w:val="20"/>
          <w:szCs w:val="20"/>
        </w:rPr>
        <w:t>Раздел 2:</w:t>
      </w:r>
      <w:r>
        <w:rPr>
          <w:rFonts w:ascii="Arial" w:hAnsi="Arial"/>
          <w:sz w:val="20"/>
          <w:szCs w:val="20"/>
        </w:rPr>
        <w:t xml:space="preserve"> Элементы программы, предлагаемые для получения поддержки со стороны Глобального фонда, включая обоснование</w:t>
      </w:r>
    </w:p>
    <w:p w:rsidR="009E61EB" w:rsidRPr="009E61EB" w:rsidRDefault="009E61EB" w:rsidP="009E61E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F39D2">
        <w:rPr>
          <w:rFonts w:ascii="Arial" w:hAnsi="Arial"/>
          <w:b/>
          <w:sz w:val="20"/>
          <w:szCs w:val="20"/>
        </w:rPr>
        <w:t>Раздел 3:</w:t>
      </w:r>
      <w:r>
        <w:rPr>
          <w:rFonts w:ascii="Arial" w:hAnsi="Arial"/>
          <w:sz w:val="20"/>
          <w:szCs w:val="20"/>
        </w:rPr>
        <w:t xml:space="preserve"> Запланированные условия реализации и меры по смягчению рисков </w:t>
      </w:r>
    </w:p>
    <w:p w:rsidR="009E61EB" w:rsidRPr="009E61EB" w:rsidRDefault="009E61EB" w:rsidP="009E61E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EF39D2">
        <w:rPr>
          <w:rFonts w:ascii="Arial" w:hAnsi="Arial"/>
          <w:b/>
          <w:sz w:val="20"/>
          <w:szCs w:val="20"/>
        </w:rPr>
        <w:t>Раздел 4:</w:t>
      </w:r>
      <w:r>
        <w:rPr>
          <w:rFonts w:ascii="Arial" w:hAnsi="Arial"/>
          <w:sz w:val="20"/>
          <w:szCs w:val="20"/>
        </w:rPr>
        <w:t xml:space="preserve"> Источники финансирования, совместное финансирование и устойчивость</w:t>
      </w:r>
    </w:p>
    <w:p w:rsidR="009E61EB" w:rsidRPr="009E61EB" w:rsidRDefault="009E61EB" w:rsidP="009E61EB">
      <w:pPr>
        <w:spacing w:after="0" w:line="240" w:lineRule="auto"/>
        <w:ind w:left="1134" w:hanging="1134"/>
        <w:rPr>
          <w:rFonts w:ascii="Arial" w:hAnsi="Arial"/>
          <w:b/>
          <w:sz w:val="20"/>
          <w:szCs w:val="20"/>
          <w:highlight w:val="magenta"/>
        </w:rPr>
      </w:pPr>
      <w:r w:rsidRPr="00EF39D2">
        <w:rPr>
          <w:rFonts w:ascii="Arial" w:hAnsi="Arial"/>
          <w:b/>
          <w:sz w:val="20"/>
          <w:szCs w:val="20"/>
        </w:rPr>
        <w:t>Раздел 5: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Приоритезированный</w:t>
      </w:r>
      <w:proofErr w:type="spellEnd"/>
      <w:r>
        <w:rPr>
          <w:rFonts w:ascii="Arial" w:hAnsi="Arial"/>
          <w:sz w:val="20"/>
          <w:szCs w:val="20"/>
        </w:rPr>
        <w:t xml:space="preserve"> запрос на дополнительное финанси</w:t>
      </w:r>
      <w:r w:rsidR="001E4C80">
        <w:rPr>
          <w:rFonts w:ascii="Arial" w:hAnsi="Arial"/>
          <w:sz w:val="20"/>
          <w:szCs w:val="20"/>
        </w:rPr>
        <w:t>рование сверх выделенной суммы</w:t>
      </w:r>
    </w:p>
    <w:p w:rsidR="009E61EB" w:rsidRDefault="009E61EB" w:rsidP="009E61EB">
      <w:pPr>
        <w:spacing w:after="0" w:line="240" w:lineRule="auto"/>
        <w:rPr>
          <w:rFonts w:ascii="Arial" w:eastAsia="SimSun" w:hAnsi="Arial"/>
          <w:sz w:val="20"/>
          <w:szCs w:val="20"/>
          <w:lang w:eastAsia="zh-CN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067"/>
      </w:tblGrid>
      <w:tr w:rsidR="009E61EB" w:rsidRPr="00947CA1" w:rsidTr="00DC3DD1">
        <w:trPr>
          <w:trHeight w:val="332"/>
        </w:trPr>
        <w:tc>
          <w:tcPr>
            <w:tcW w:w="9067" w:type="dxa"/>
            <w:shd w:val="clear" w:color="auto" w:fill="1F497D"/>
          </w:tcPr>
          <w:p w:rsidR="009E61EB" w:rsidRPr="00947CA1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РАЗДЕЛ 1: КОНТЕКСТ </w:t>
            </w:r>
          </w:p>
        </w:tc>
      </w:tr>
      <w:tr w:rsidR="009E61EB" w:rsidRPr="009E61EB" w:rsidTr="00DC3DD1">
        <w:tblPrEx>
          <w:jc w:val="center"/>
        </w:tblPrEx>
        <w:trPr>
          <w:trHeight w:val="332"/>
          <w:jc w:val="center"/>
        </w:trPr>
        <w:tc>
          <w:tcPr>
            <w:tcW w:w="9067" w:type="dxa"/>
            <w:shd w:val="clear" w:color="auto" w:fill="C6D9F1"/>
          </w:tcPr>
          <w:p w:rsidR="009E61EB" w:rsidRPr="009E61EB" w:rsidRDefault="009E61EB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В этом разделе необходимо кратко описать страновой контекст и показать необходимость внесения существенных изменений в программу. </w:t>
            </w:r>
            <w:r>
              <w:rPr>
                <w:rFonts w:ascii="Arial" w:hAnsi="Arial"/>
                <w:sz w:val="20"/>
                <w:szCs w:val="20"/>
              </w:rPr>
              <w:t>Следует привести ссылки на существующие и новые источники информации, в частности (но не ограничиваясь) на национальные планы в области здравоохранения и другие документы национальной стратегии.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Эта информация имеет важное значение для обоснования выбора мер, указанных в запросе на финансирование.</w:t>
            </w:r>
          </w:p>
          <w:p w:rsidR="009E61EB" w:rsidRPr="009E61EB" w:rsidRDefault="009E61EB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Для ответа воспользуйтесь дополнительными рекомендациями в 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Инструкциях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9E61EB" w:rsidRPr="00884690" w:rsidRDefault="009E61EB" w:rsidP="009E61EB">
      <w:pPr>
        <w:spacing w:line="240" w:lineRule="auto"/>
        <w:ind w:left="-142"/>
        <w:jc w:val="both"/>
        <w:rPr>
          <w:rFonts w:ascii="Arial" w:eastAsia="SimSun" w:hAnsi="Arial"/>
          <w:sz w:val="8"/>
          <w:szCs w:val="8"/>
          <w:lang w:eastAsia="zh-CN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217"/>
        <w:gridCol w:w="850"/>
      </w:tblGrid>
      <w:tr w:rsidR="009E61EB" w:rsidRPr="00947CA1" w:rsidTr="00DC3DD1">
        <w:trPr>
          <w:trHeight w:val="274"/>
        </w:trPr>
        <w:tc>
          <w:tcPr>
            <w:tcW w:w="9067" w:type="dxa"/>
            <w:gridSpan w:val="2"/>
            <w:shd w:val="clear" w:color="auto" w:fill="C6D9F1" w:themeFill="text2" w:themeFillTint="33"/>
          </w:tcPr>
          <w:p w:rsidR="009E61EB" w:rsidRPr="00947CA1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bCs/>
                <w:sz w:val="20"/>
                <w:szCs w:val="20"/>
              </w:rPr>
              <w:t>1.1 Справочная информация: Инициирование существенных изменений</w:t>
            </w:r>
          </w:p>
        </w:tc>
      </w:tr>
      <w:tr w:rsidR="009E61EB" w:rsidRPr="009E61EB" w:rsidTr="00DC3DD1">
        <w:trPr>
          <w:trHeight w:val="274"/>
        </w:trPr>
        <w:tc>
          <w:tcPr>
            <w:tcW w:w="9067" w:type="dxa"/>
            <w:gridSpan w:val="2"/>
            <w:shd w:val="clear" w:color="auto" w:fill="F2F2F2"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Укажите области изменения, которые наиболее точно описывают необходимость в пересмотре программы для определенных областей. </w:t>
            </w:r>
          </w:p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t>Определение понятия «существенное изменение» и основания для его внесения с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м. в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Инструкциях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и </w:t>
            </w:r>
            <w:hyperlink r:id="rId11" w:history="1">
              <w:r>
                <w:rPr>
                  <w:rStyle w:val="Hyperlink"/>
                  <w:rFonts w:ascii="Arial" w:hAnsi="Arial"/>
                  <w:bCs/>
                  <w:i/>
                  <w:sz w:val="20"/>
                  <w:szCs w:val="20"/>
                </w:rPr>
                <w:t>Примечание к Операционной политике по предоставлению доступа к финансированию и грантам</w:t>
              </w:r>
            </w:hyperlink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на стадии подготовки к изданию</w:t>
            </w:r>
            <w:r>
              <w:rPr>
                <w:rFonts w:ascii="Arial" w:hAnsi="Arial"/>
                <w:bCs/>
                <w:sz w:val="20"/>
                <w:szCs w:val="20"/>
              </w:rPr>
              <w:t>)</w:t>
            </w:r>
            <w: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9067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833796" w:rsidRDefault="009E61EB" w:rsidP="009E61EB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313" w:hanging="313"/>
              <w:rPr>
                <w:rFonts w:ascii="Arial" w:eastAsia="MS Mincho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Обновленная информация об эпидемиологической ситуации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821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after="160" w:line="259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Произошли ли какие-либо значимые изменения в эпидемиологической ситуации в стране по сравнению с предыдущим запросом на финансирование (например, серьезные изменения тенденций в отношении показателей заболеваемости/зарегистрированных случаев или распространенности, основных факторов распространения эпидемии, новых форм поведения с высокой степенью риска, устойчивости к лекарственным средствам/инсектицидам или охвата мероприятиями населения в целом или конкретных основных затронутых групп населения по данным последних обследований или на основании данных из других источников)?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-845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Да</w:t>
            </w:r>
          </w:p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Cs/>
                  <w:iCs/>
                  <w:sz w:val="20"/>
                  <w:szCs w:val="20"/>
                </w:rPr>
                <w:id w:val="-2110570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bCs/>
                <w:iCs/>
                <w:sz w:val="20"/>
                <w:szCs w:val="20"/>
              </w:rPr>
              <w:t>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Пересмотр и обновление национальной политики и стратегий</w:t>
            </w:r>
          </w:p>
        </w:tc>
      </w:tr>
      <w:tr w:rsidR="009E61EB" w:rsidRPr="009413DD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Приняты ли какие-либо новые подходы в рамках национальной политики или стратегии в отношении программы по заболеванию (например, руководство по тестированию и лечению при ВИЧ, краткосрочные схемы лечения МЛУ-ТБ, переход от мер борьбы с малярией к этапу, предшествующему ликвидации, расширение роли частного сектора)?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EB" w:rsidRPr="009413DD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Cs/>
                  <w:iCs/>
                  <w:sz w:val="20"/>
                  <w:szCs w:val="20"/>
                </w:rPr>
                <w:id w:val="-1091240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9413DD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</w:p>
          <w:p w:rsidR="009E61EB" w:rsidRPr="009413DD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Cs/>
                  <w:iCs/>
                  <w:sz w:val="20"/>
                  <w:szCs w:val="20"/>
                </w:rPr>
                <w:id w:val="-17684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Осуществление инвестиций для достижения максимального воздействия в целях ликвидации эпидемии </w:t>
            </w:r>
          </w:p>
        </w:tc>
      </w:tr>
      <w:tr w:rsidR="009E61EB" w:rsidRPr="0048135A" w:rsidTr="003F216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19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Ссылаясь на имеющиеся фактические данные и информацию, полученную от технических партнеров или основных заинтересованных сторон, сохраняет ли существующая программа свою актуальность, имеется ли прогресс и обеспечивает ли она в целом получение результатов и достижение воздействия?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2129581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</w:p>
          <w:p w:rsidR="009E61EB" w:rsidRPr="00833796" w:rsidRDefault="00EB30C0" w:rsidP="00DC3DD1">
            <w:pPr>
              <w:spacing w:after="0" w:line="240" w:lineRule="auto"/>
              <w:ind w:left="131"/>
              <w:rPr>
                <w:rFonts w:ascii="Arial" w:eastAsia="Cambria" w:hAnsi="Arial"/>
                <w:b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/>
                  <w:bCs/>
                  <w:iCs/>
                  <w:sz w:val="20"/>
                  <w:szCs w:val="20"/>
                </w:rPr>
                <w:id w:val="-9594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48135A">
                  <w:rPr>
                    <w:rFonts w:ascii="Segoe UI Symbol" w:eastAsia="Cambria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Согласование с Задачами 2 и 3 Стратегии Глобального фонда на период 2017-2022 гг.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067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EB" w:rsidRPr="00947CA1" w:rsidRDefault="009E61EB" w:rsidP="00DC3DD1">
            <w:pPr>
              <w:spacing w:after="0" w:line="380" w:lineRule="exact"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Задача 2. Создание жизнеспособных и устойчивых систем для сохранения здоровья людей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Необходимы ли изменения в инвестициях в создание жизнеспособных и устойчивых систем для сохранения здоровья людей (ЖУССЗ) с целью добиться максимального воздействия на репродуктивное здоровье, охрану здоровья матерей, новорожденных и детей или в других областях ЖУССЗ?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/>
                  <w:bCs/>
                  <w:iCs/>
                  <w:sz w:val="20"/>
                  <w:szCs w:val="20"/>
                </w:rPr>
                <w:id w:val="208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48135A">
                  <w:rPr>
                    <w:rFonts w:ascii="Segoe UI Symbol" w:eastAsia="Cambria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Да   </w:t>
            </w:r>
          </w:p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Cs/>
                  <w:iCs/>
                  <w:sz w:val="20"/>
                  <w:szCs w:val="20"/>
                </w:rPr>
                <w:id w:val="483205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bCs/>
                <w:iCs/>
                <w:sz w:val="20"/>
                <w:szCs w:val="20"/>
              </w:rPr>
              <w:t>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9067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EB" w:rsidRPr="00947CA1" w:rsidRDefault="009E61EB" w:rsidP="00DC3DD1">
            <w:pPr>
              <w:spacing w:before="120" w:after="120" w:line="259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Задача 3. Продвижение и защита прав человека и гендерного равенства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Существует ли необходимость в укреплении или изменении мер, направленных на соблюдение прав человека и устранение препятствий в доступе к услугам, обусловленных гендерным неравенством, а также на обеспечение надлежащей направленности мероприятий, отвечающих потребностям основных затронутых и уязвимых групп населения?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/>
                  <w:sz w:val="20"/>
                  <w:szCs w:val="20"/>
                </w:rPr>
                <w:id w:val="5420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48135A">
                  <w:rPr>
                    <w:rFonts w:ascii="Segoe UI Symbol" w:eastAsia="Cambr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Да   </w:t>
            </w:r>
          </w:p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-557401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sz w:val="20"/>
                <w:szCs w:val="20"/>
              </w:rPr>
              <w:t>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Эффективность подходов к реализации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Являются ли существующие условия реализации эффективными для выполнения задач программы и достижения ожидаемого воздействия (включая Основных реципиентов и основных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shd w:val="clear" w:color="auto" w:fill="F2F2F2" w:themeFill="background1" w:themeFillShade="F2"/>
              </w:rPr>
              <w:t>Субреципиентов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shd w:val="clear" w:color="auto" w:fill="F2F2F2" w:themeFill="background1" w:themeFillShade="F2"/>
              </w:rPr>
              <w:t>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-1983775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sz w:val="20"/>
                <w:szCs w:val="20"/>
              </w:rPr>
              <w:t>Да</w:t>
            </w:r>
            <w:r w:rsidR="009E61EB">
              <w:rPr>
                <w:rFonts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mbria" w:hAnsi="Arial"/>
                  <w:b/>
                  <w:sz w:val="20"/>
                  <w:szCs w:val="20"/>
                </w:rPr>
                <w:id w:val="5745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48135A">
                  <w:rPr>
                    <w:rFonts w:ascii="Segoe UI Symbol" w:eastAsia="Cambr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Устойчивость, переход и совместное финансирование  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Имеются ли изменения в отношении внутренних или международных источников финансирования (например, в результате выбытия одного из крупных доноров или значительного увеличения выделенных средств/ финансирования из внутренних источников), которые оказывают существенное влияние на наличие финансовых средств для программных мероприятий и обеспечения устойчивости?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1950730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sz w:val="20"/>
                <w:szCs w:val="20"/>
              </w:rPr>
              <w:t>Да</w:t>
            </w:r>
            <w:r w:rsidR="009E61EB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/>
                  <w:sz w:val="20"/>
                  <w:szCs w:val="20"/>
                </w:rPr>
                <w:id w:val="-8052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Нет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EB" w:rsidRPr="009E61EB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Является ли объем средств, выделенных Глобальным фондом на компонент по заболеванию Вашей стране на период с 2017 по 2019 г. значительно ниже по сравнению с уровнем расходов на реализацию существующих грантов</w:t>
            </w:r>
            <w:r w:rsidRPr="00833796">
              <w:rPr>
                <w:rFonts w:ascii="Arial" w:hAnsi="Arial"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81038E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sz w:val="20"/>
                  <w:szCs w:val="20"/>
                </w:rPr>
                <w:id w:val="-59039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81038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</w:t>
            </w:r>
            <w:r w:rsidR="009E61EB" w:rsidRPr="00947CA1">
              <w:rPr>
                <w:rFonts w:ascii="Arial" w:hAnsi="Arial"/>
                <w:b/>
                <w:sz w:val="20"/>
                <w:szCs w:val="20"/>
              </w:rPr>
              <w:t>Да</w:t>
            </w:r>
            <w:r w:rsidR="009E61EB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9E61EB" w:rsidRPr="00833796" w:rsidRDefault="00EB30C0" w:rsidP="00DC3DD1">
            <w:pPr>
              <w:spacing w:after="160" w:line="259" w:lineRule="auto"/>
              <w:ind w:left="131"/>
              <w:rPr>
                <w:rFonts w:ascii="Arial" w:eastAsia="Cambria" w:hAnsi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="Cambria" w:hAnsi="Arial"/>
                  <w:b/>
                  <w:sz w:val="20"/>
                  <w:szCs w:val="20"/>
                </w:rPr>
                <w:id w:val="13304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EB" w:rsidRPr="0048135A">
                  <w:rPr>
                    <w:rFonts w:ascii="Segoe UI Symbol" w:eastAsia="Cambr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61EB">
              <w:rPr>
                <w:rFonts w:ascii="Arial" w:hAnsi="Arial"/>
                <w:sz w:val="20"/>
                <w:szCs w:val="20"/>
              </w:rPr>
              <w:t xml:space="preserve"> Нет</w:t>
            </w:r>
          </w:p>
        </w:tc>
      </w:tr>
      <w:tr w:rsidR="009E61EB" w:rsidRPr="00947CA1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06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EB" w:rsidRPr="00947CA1" w:rsidRDefault="009E61EB" w:rsidP="009E61EB">
            <w:pPr>
              <w:numPr>
                <w:ilvl w:val="0"/>
                <w:numId w:val="3"/>
              </w:numPr>
              <w:spacing w:after="0" w:line="380" w:lineRule="exact"/>
              <w:ind w:left="313" w:hanging="313"/>
              <w:contextualSpacing/>
              <w:rPr>
                <w:rFonts w:ascii="Arial" w:eastAsia="MS Mincho" w:hAnsi="Arial"/>
                <w:b/>
                <w:color w:val="000000"/>
                <w:kern w:val="24"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color w:val="000000"/>
                <w:sz w:val="20"/>
                <w:szCs w:val="20"/>
              </w:rPr>
              <w:t>Прочие:</w:t>
            </w:r>
          </w:p>
        </w:tc>
      </w:tr>
      <w:tr w:rsidR="009E61EB" w:rsidRPr="0048135A" w:rsidTr="00DC3DD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82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EB" w:rsidRPr="00833796" w:rsidRDefault="009E61EB" w:rsidP="00DC3DD1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Указать: -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61EB" w:rsidRPr="00947CA1" w:rsidRDefault="009E61EB" w:rsidP="00DC3DD1">
            <w:pPr>
              <w:spacing w:after="160" w:line="259" w:lineRule="auto"/>
              <w:ind w:left="131"/>
              <w:jc w:val="center"/>
              <w:rPr>
                <w:rFonts w:ascii="Arial" w:eastAsia="Cambria" w:hAnsi="Arial"/>
                <w:b/>
                <w:bCs/>
                <w:iCs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bCs/>
                <w:iCs/>
                <w:sz w:val="20"/>
                <w:szCs w:val="20"/>
              </w:rPr>
              <w:t>Не применяется</w:t>
            </w:r>
          </w:p>
        </w:tc>
      </w:tr>
    </w:tbl>
    <w:p w:rsidR="009E61EB" w:rsidRDefault="009E61EB" w:rsidP="009E61EB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101"/>
      </w:tblGrid>
      <w:tr w:rsidR="009E61EB" w:rsidRPr="00947CA1" w:rsidTr="00DC3DD1">
        <w:trPr>
          <w:trHeight w:val="274"/>
        </w:trPr>
        <w:tc>
          <w:tcPr>
            <w:tcW w:w="9101" w:type="dxa"/>
            <w:shd w:val="clear" w:color="auto" w:fill="C6D9F1" w:themeFill="text2" w:themeFillTint="33"/>
          </w:tcPr>
          <w:p w:rsidR="009E61EB" w:rsidRPr="00947CA1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47CA1">
              <w:rPr>
                <w:rFonts w:ascii="Arial" w:hAnsi="Arial"/>
                <w:b/>
                <w:bCs/>
                <w:sz w:val="20"/>
                <w:szCs w:val="20"/>
              </w:rPr>
              <w:t xml:space="preserve">1.2. Краткое описание </w:t>
            </w:r>
            <w:proofErr w:type="spellStart"/>
            <w:r w:rsidRPr="00947CA1">
              <w:rPr>
                <w:rFonts w:ascii="Arial" w:hAnsi="Arial"/>
                <w:b/>
                <w:bCs/>
                <w:sz w:val="20"/>
                <w:szCs w:val="20"/>
              </w:rPr>
              <w:t>странового</w:t>
            </w:r>
            <w:proofErr w:type="spellEnd"/>
            <w:r w:rsidRPr="00947CA1">
              <w:rPr>
                <w:rFonts w:ascii="Arial" w:hAnsi="Arial"/>
                <w:b/>
                <w:bCs/>
                <w:sz w:val="20"/>
                <w:szCs w:val="20"/>
              </w:rPr>
              <w:t xml:space="preserve"> контекста</w:t>
            </w:r>
          </w:p>
        </w:tc>
      </w:tr>
      <w:tr w:rsidR="009E61EB" w:rsidRPr="009E61EB" w:rsidTr="00DC3DD1">
        <w:trPr>
          <w:trHeight w:val="274"/>
        </w:trPr>
        <w:tc>
          <w:tcPr>
            <w:tcW w:w="9101" w:type="dxa"/>
            <w:shd w:val="clear" w:color="auto" w:fill="F2F2F2" w:themeFill="background1" w:themeFillShade="F2"/>
          </w:tcPr>
          <w:p w:rsidR="009E61EB" w:rsidRPr="0048135A" w:rsidRDefault="009E61EB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 учетом вышеизложенного, </w:t>
            </w:r>
          </w:p>
          <w:p w:rsidR="009E61EB" w:rsidRPr="00833796" w:rsidRDefault="009E61EB" w:rsidP="00DC3DD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lastRenderedPageBreak/>
              <w:t>Опишите причины существенных изменений, лежащих в основе вашего запроса на финансирование (например, перенаправление фокуса в сторону высокоэффективных мероприятий, изменения в эпидемиологическом фоне, необходимость соответствия последним нормативным указаниям, изменения в особенностях финансирования и. т. д.).</w:t>
            </w:r>
          </w:p>
          <w:p w:rsidR="009E61EB" w:rsidRPr="0048135A" w:rsidRDefault="009E61EB" w:rsidP="00DC3DD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При необходимости предоставьте информацию о том, как эти изменения влияют на положение основных затронутых и уязвимых группах населения и на аспекты, касающиеся прав человека и гендерных вопросов;</w:t>
            </w:r>
          </w:p>
          <w:p w:rsidR="009E61EB" w:rsidRPr="007D0F2F" w:rsidRDefault="009E61EB" w:rsidP="00DC3DD1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Укажите, каким образом в настоящем запросе использованы уроки, извлеченные из существующих и других финансируемых донорами программ</w:t>
            </w:r>
          </w:p>
        </w:tc>
      </w:tr>
    </w:tbl>
    <w:p w:rsidR="009E61EB" w:rsidRPr="009E61EB" w:rsidRDefault="009E61EB" w:rsidP="00DC3DD1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lastRenderedPageBreak/>
        <w:t xml:space="preserve">Республика Казахстан - это государство в Центральной Азии, которое занимает девятое место в мире по площади </w:t>
      </w:r>
      <w:r w:rsidR="00512B59">
        <w:rPr>
          <w:rFonts w:ascii="Arial" w:hAnsi="Arial"/>
        </w:rPr>
        <w:t>территории</w:t>
      </w:r>
      <w:r>
        <w:rPr>
          <w:rFonts w:ascii="Arial" w:hAnsi="Arial"/>
        </w:rPr>
        <w:t xml:space="preserve"> (2</w:t>
      </w:r>
      <w:r w:rsidR="00DC3DD1">
        <w:rPr>
          <w:rFonts w:ascii="Arial" w:hAnsi="Arial"/>
        </w:rPr>
        <w:t xml:space="preserve"> </w:t>
      </w:r>
      <w:r>
        <w:rPr>
          <w:rFonts w:ascii="Arial" w:hAnsi="Arial"/>
        </w:rPr>
        <w:t>724</w:t>
      </w:r>
      <w:r w:rsidR="00DC3DD1">
        <w:rPr>
          <w:rFonts w:ascii="Arial" w:hAnsi="Arial"/>
        </w:rPr>
        <w:t xml:space="preserve"> </w:t>
      </w:r>
      <w:r>
        <w:rPr>
          <w:rFonts w:ascii="Arial" w:hAnsi="Arial"/>
        </w:rPr>
        <w:t>900 кв. км). В начале 2018 года население страны составляло 18 157 377 человек</w:t>
      </w:r>
      <w:r w:rsidRPr="009527D4">
        <w:rPr>
          <w:rFonts w:ascii="Arial" w:eastAsia="MS Mincho" w:hAnsi="Arial"/>
          <w:vertAlign w:val="superscript"/>
        </w:rPr>
        <w:footnoteReference w:id="2"/>
      </w:r>
      <w:r>
        <w:rPr>
          <w:rFonts w:ascii="Arial" w:hAnsi="Arial"/>
        </w:rPr>
        <w:t xml:space="preserve"> (городские жители - 57,4%, сельские жители - 42,6%). Плотность населения составляет 6,7 человека на 1 кв. км.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По административно-территориальному делению страна включает 17 регионов первого уровня: 14 областей и 3 города - Астана, Алматы и Шымкент. Согласно рейтингу Всемирного банка Казахстан относится к странам с уровнем дохода выше среднего (UMI). Валовой национальный доход (ВНД) на душу населения в 2017 году оценивался на уровне 7 890 долларов США</w:t>
      </w:r>
      <w:r w:rsidRPr="009527D4">
        <w:rPr>
          <w:rFonts w:ascii="Arial" w:eastAsia="MS Mincho" w:hAnsi="Arial"/>
          <w:vertAlign w:val="superscript"/>
        </w:rPr>
        <w:footnoteReference w:id="3"/>
      </w:r>
      <w:r>
        <w:rPr>
          <w:rFonts w:ascii="Arial" w:hAnsi="Arial"/>
        </w:rPr>
        <w:t>.</w:t>
      </w:r>
    </w:p>
    <w:p w:rsidR="009E61EB" w:rsidRDefault="009E61EB" w:rsidP="009E61EB">
      <w:pPr>
        <w:spacing w:before="120"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Туберкулез (ТБ) вновь стал важной проблемой в области общественного здравоохранения в 1990-х годах, и бремя данного заболевания в Казахстане все еще остается на высоком уровне. Согласно последним оценкам ВОЗ за 2017 год</w:t>
      </w:r>
      <w:r w:rsidRPr="009527D4">
        <w:rPr>
          <w:rFonts w:ascii="Arial" w:eastAsia="MS Mincho" w:hAnsi="Arial"/>
          <w:vertAlign w:val="superscript"/>
        </w:rPr>
        <w:footnoteReference w:id="4"/>
      </w:r>
      <w:r>
        <w:rPr>
          <w:rFonts w:ascii="Arial" w:hAnsi="Arial"/>
        </w:rPr>
        <w:t xml:space="preserve">, заболеваемость ТБ (новые случаи и рецидивы) составляет 66 случаев на 100 000 населения, вследствие чего Казахстан занимает 9-е место среди 53 стран Европейского региона ВОЗ. За последнее десятилетие предполагаемое число новых случаев заболевания </w:t>
      </w:r>
      <w:r w:rsidR="000F2149">
        <w:rPr>
          <w:rFonts w:ascii="Arial" w:hAnsi="Arial"/>
        </w:rPr>
        <w:t>ТБ</w:t>
      </w:r>
      <w:r>
        <w:rPr>
          <w:rFonts w:ascii="Arial" w:hAnsi="Arial"/>
        </w:rPr>
        <w:t xml:space="preserve"> в Казахстане значительно снизилось</w:t>
      </w:r>
      <w:r w:rsidR="00985B05">
        <w:rPr>
          <w:rFonts w:ascii="Arial" w:hAnsi="Arial"/>
        </w:rPr>
        <w:t xml:space="preserve"> (</w:t>
      </w:r>
      <w:r w:rsidR="00985B05" w:rsidRPr="00985B05">
        <w:rPr>
          <w:rFonts w:ascii="Arial" w:hAnsi="Arial"/>
        </w:rPr>
        <w:t>Рисун</w:t>
      </w:r>
      <w:r w:rsidR="00985B05">
        <w:rPr>
          <w:rFonts w:ascii="Arial" w:hAnsi="Arial"/>
        </w:rPr>
        <w:t>ок</w:t>
      </w:r>
      <w:r w:rsidR="00985B05" w:rsidRPr="00985B05">
        <w:rPr>
          <w:rFonts w:ascii="Arial" w:hAnsi="Arial"/>
        </w:rPr>
        <w:t xml:space="preserve"> 1</w:t>
      </w:r>
      <w:r w:rsidR="00985B05">
        <w:rPr>
          <w:rFonts w:ascii="Arial" w:hAnsi="Arial"/>
        </w:rPr>
        <w:t>)</w:t>
      </w:r>
      <w:r>
        <w:rPr>
          <w:rFonts w:ascii="Arial" w:hAnsi="Arial"/>
        </w:rPr>
        <w:t xml:space="preserve"> - с более чем 150 случаев на 100 000 населения в 2008-2009 годах до 66 случаев на 100 000 человек в 2017 году. Согласно оценкам ВОЗ, смертность от туберкулеза находится на относительно низком уровне (0,89 случаев смерти на 100 000 человек, исключая ТБ/ВИЧ, и 0,20 случаев смети от ВИЧ-ассоциированного туберкулеза на 100 000 человек)</w:t>
      </w:r>
      <w:r w:rsidR="00985B05">
        <w:rPr>
          <w:rFonts w:ascii="Arial" w:hAnsi="Arial"/>
        </w:rPr>
        <w:t xml:space="preserve"> (</w:t>
      </w:r>
      <w:r w:rsidR="00985B05" w:rsidRPr="00985B05">
        <w:rPr>
          <w:rFonts w:ascii="Arial" w:hAnsi="Arial"/>
        </w:rPr>
        <w:t>Рисун</w:t>
      </w:r>
      <w:r w:rsidR="00985B05">
        <w:rPr>
          <w:rFonts w:ascii="Arial" w:hAnsi="Arial"/>
        </w:rPr>
        <w:t>о</w:t>
      </w:r>
      <w:r w:rsidR="00985B05" w:rsidRPr="00985B05">
        <w:rPr>
          <w:rFonts w:ascii="Arial" w:hAnsi="Arial"/>
        </w:rPr>
        <w:t xml:space="preserve">к </w:t>
      </w:r>
      <w:r w:rsidR="00985B05">
        <w:rPr>
          <w:rFonts w:ascii="Arial" w:hAnsi="Arial"/>
        </w:rPr>
        <w:t>2)</w:t>
      </w:r>
      <w:r>
        <w:rPr>
          <w:rFonts w:ascii="Arial" w:hAnsi="Arial"/>
        </w:rPr>
        <w:t>.</w:t>
      </w: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p w:rsidR="00985B05" w:rsidRDefault="00985B05" w:rsidP="009E61EB">
      <w:pPr>
        <w:spacing w:before="120" w:after="120" w:line="240" w:lineRule="auto"/>
        <w:jc w:val="both"/>
        <w:rPr>
          <w:rFonts w:ascii="Arial" w:hAnsi="Arial"/>
        </w:rPr>
      </w:pPr>
    </w:p>
    <w:tbl>
      <w:tblPr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85B05" w:rsidRPr="00985B05" w:rsidTr="00E92CB3">
        <w:trPr>
          <w:jc w:val="center"/>
        </w:trPr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985B05" w:rsidRPr="00985B05" w:rsidRDefault="00985B05" w:rsidP="00985B05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985B05">
              <w:rPr>
                <w:rFonts w:ascii="Arial" w:eastAsia="MS Mincho" w:hAnsi="Arial"/>
                <w:b/>
                <w:sz w:val="20"/>
                <w:szCs w:val="20"/>
              </w:rPr>
              <w:lastRenderedPageBreak/>
              <w:t>Рис</w:t>
            </w:r>
            <w:r w:rsidRPr="00DD7C44">
              <w:rPr>
                <w:rFonts w:ascii="Arial" w:eastAsia="MS Mincho" w:hAnsi="Arial"/>
                <w:b/>
                <w:sz w:val="20"/>
                <w:szCs w:val="20"/>
              </w:rPr>
              <w:t xml:space="preserve">. 1. </w:t>
            </w:r>
            <w:r w:rsidRPr="00985B05">
              <w:rPr>
                <w:rFonts w:ascii="Arial" w:eastAsia="MS Mincho" w:hAnsi="Arial"/>
                <w:b/>
                <w:sz w:val="20"/>
                <w:szCs w:val="20"/>
              </w:rPr>
              <w:t>Оценочная ВОЗ ТБ заболеваемость (все формы) в Казахстане на 100,000 населения, 2008-2017</w:t>
            </w:r>
            <w:r w:rsidR="00427182">
              <w:rPr>
                <w:rFonts w:ascii="Arial" w:eastAsia="MS Mincho" w:hAnsi="Arial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985B05" w:rsidRPr="00985B05" w:rsidRDefault="00985B05" w:rsidP="00985B05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985B05">
              <w:rPr>
                <w:rFonts w:ascii="Arial" w:eastAsia="MS Mincho" w:hAnsi="Arial"/>
                <w:b/>
                <w:sz w:val="20"/>
                <w:szCs w:val="20"/>
              </w:rPr>
              <w:t>Рис. 2. Оценочная ВОЗ ТБ заболеваемость (все формы) в Казахстане на 100,000 населения, 20</w:t>
            </w:r>
            <w:r>
              <w:rPr>
                <w:rFonts w:ascii="Arial" w:eastAsia="MS Mincho" w:hAnsi="Arial"/>
                <w:b/>
                <w:sz w:val="20"/>
                <w:szCs w:val="20"/>
              </w:rPr>
              <w:t>0</w:t>
            </w:r>
            <w:r w:rsidRPr="00985B05">
              <w:rPr>
                <w:rFonts w:ascii="Arial" w:eastAsia="MS Mincho" w:hAnsi="Arial"/>
                <w:b/>
                <w:sz w:val="20"/>
                <w:szCs w:val="20"/>
              </w:rPr>
              <w:t>8-2017</w:t>
            </w:r>
            <w:r w:rsidR="00427182">
              <w:rPr>
                <w:rFonts w:ascii="Arial" w:eastAsia="MS Mincho" w:hAnsi="Arial"/>
                <w:b/>
                <w:sz w:val="20"/>
                <w:szCs w:val="20"/>
              </w:rPr>
              <w:t xml:space="preserve"> гг.</w:t>
            </w:r>
          </w:p>
        </w:tc>
      </w:tr>
      <w:tr w:rsidR="00985B05" w:rsidRPr="009527D4" w:rsidTr="00E92CB3">
        <w:trPr>
          <w:jc w:val="center"/>
        </w:trPr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985B05" w:rsidRPr="00985B05" w:rsidRDefault="00985B05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</w:rPr>
            </w:pPr>
            <w:r w:rsidRPr="00985B05">
              <w:rPr>
                <w:rFonts w:ascii="Arial" w:eastAsia="MS Mincho" w:hAnsi="Arial"/>
                <w:b/>
                <w:noProof/>
                <w:lang w:val="en-US"/>
              </w:rPr>
              <w:drawing>
                <wp:inline distT="0" distB="0" distL="0" distR="0" wp14:anchorId="733A7FCC" wp14:editId="2645B7F0">
                  <wp:extent cx="2844800" cy="24419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03" cy="2469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985B05" w:rsidRPr="00985B05" w:rsidRDefault="00985B05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</w:rPr>
            </w:pPr>
            <w:r w:rsidRPr="00985B05">
              <w:rPr>
                <w:rFonts w:ascii="Arial" w:eastAsia="MS Mincho" w:hAnsi="Arial"/>
                <w:b/>
                <w:noProof/>
                <w:lang w:val="en-US"/>
              </w:rPr>
              <w:drawing>
                <wp:inline distT="0" distB="0" distL="0" distR="0" wp14:anchorId="5BAE2B5B" wp14:editId="43C2329A">
                  <wp:extent cx="2837180" cy="244157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173" cy="2486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05" w:rsidRPr="00985B05" w:rsidTr="00E92CB3">
        <w:trPr>
          <w:jc w:val="center"/>
        </w:trPr>
        <w:tc>
          <w:tcPr>
            <w:tcW w:w="90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85B05" w:rsidRPr="00985B05" w:rsidRDefault="00985B05" w:rsidP="00985B05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18"/>
                <w:szCs w:val="18"/>
              </w:rPr>
            </w:pPr>
            <w:r w:rsidRPr="00985B05">
              <w:rPr>
                <w:rFonts w:ascii="Arial" w:eastAsia="MS Mincho" w:hAnsi="Arial"/>
                <w:i/>
                <w:sz w:val="18"/>
                <w:szCs w:val="18"/>
              </w:rPr>
              <w:t>Источник</w:t>
            </w:r>
            <w:r w:rsidRPr="00985B05">
              <w:rPr>
                <w:rFonts w:ascii="Arial" w:eastAsia="MS Mincho" w:hAnsi="Arial"/>
                <w:sz w:val="18"/>
                <w:szCs w:val="18"/>
              </w:rPr>
              <w:t xml:space="preserve">: Глобальная ТБ База данных ВОЗ, </w:t>
            </w:r>
            <w:hyperlink r:id="rId14" w:history="1"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https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://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www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.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who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.</w:t>
              </w:r>
              <w:proofErr w:type="spellStart"/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int</w:t>
              </w:r>
              <w:proofErr w:type="spellEnd"/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/</w:t>
              </w:r>
              <w:proofErr w:type="spellStart"/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tb</w:t>
              </w:r>
              <w:proofErr w:type="spellEnd"/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/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data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/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  <w:lang w:val="en-US"/>
                </w:rPr>
                <w:t>en</w:t>
              </w:r>
              <w:r w:rsidRPr="00985B05">
                <w:rPr>
                  <w:rStyle w:val="Hyperlink"/>
                  <w:rFonts w:ascii="Arial" w:eastAsia="MS Mincho" w:hAnsi="Arial" w:cs="Arial"/>
                  <w:sz w:val="18"/>
                  <w:szCs w:val="18"/>
                </w:rPr>
                <w:t>/</w:t>
              </w:r>
            </w:hyperlink>
          </w:p>
        </w:tc>
      </w:tr>
    </w:tbl>
    <w:p w:rsidR="00947CA1" w:rsidRDefault="009E61EB" w:rsidP="009E61EB">
      <w:pPr>
        <w:spacing w:before="120"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Как показано на приведенных ниже Рисунках 1 и 2, за последние десять лет ежегодное количество </w:t>
      </w:r>
      <w:r w:rsidR="00512B59">
        <w:rPr>
          <w:rFonts w:ascii="Arial" w:hAnsi="Arial"/>
        </w:rPr>
        <w:t>зарегистрированных</w:t>
      </w:r>
      <w:r>
        <w:rPr>
          <w:rFonts w:ascii="Arial" w:hAnsi="Arial"/>
        </w:rPr>
        <w:t xml:space="preserve"> случаев активного ТБ сократилось более чем в два раза; показатель </w:t>
      </w:r>
      <w:r w:rsidR="00512B59">
        <w:rPr>
          <w:rFonts w:ascii="Arial" w:hAnsi="Arial"/>
        </w:rPr>
        <w:t>зарегистрированных</w:t>
      </w:r>
      <w:r>
        <w:rPr>
          <w:rFonts w:ascii="Arial" w:hAnsi="Arial"/>
        </w:rPr>
        <w:t xml:space="preserve"> новых случаев заболеваемости на 100 000 </w:t>
      </w:r>
      <w:r w:rsidR="000F2149">
        <w:rPr>
          <w:rFonts w:ascii="Arial" w:hAnsi="Arial"/>
        </w:rPr>
        <w:t xml:space="preserve">населения </w:t>
      </w:r>
      <w:r>
        <w:rPr>
          <w:rFonts w:ascii="Arial" w:hAnsi="Arial"/>
        </w:rPr>
        <w:t xml:space="preserve">уменьшился с 125,6 до 52,2 (на 58,4%), а </w:t>
      </w:r>
      <w:r w:rsidR="000F2149">
        <w:rPr>
          <w:rFonts w:ascii="Arial" w:hAnsi="Arial"/>
        </w:rPr>
        <w:t xml:space="preserve">показатель общего количества </w:t>
      </w:r>
      <w:r>
        <w:rPr>
          <w:rFonts w:ascii="Arial" w:hAnsi="Arial"/>
        </w:rPr>
        <w:t xml:space="preserve">случаев заболеваемости ТБ - с 184,5 до 79,1 (на 57,1%). При этом доля </w:t>
      </w:r>
      <w:r w:rsidR="00A912B7">
        <w:rPr>
          <w:rFonts w:ascii="Arial" w:hAnsi="Arial"/>
        </w:rPr>
        <w:t>повторных</w:t>
      </w:r>
      <w:r>
        <w:rPr>
          <w:rFonts w:ascii="Arial" w:hAnsi="Arial"/>
        </w:rPr>
        <w:t xml:space="preserve"> случаев остается высокой: в 2017 году они составляли 34,0% от всех зарегистрированных случаев активного ТБ.</w:t>
      </w:r>
    </w:p>
    <w:p w:rsidR="00427182" w:rsidRDefault="00427182" w:rsidP="009E61EB">
      <w:pPr>
        <w:spacing w:before="120" w:after="120" w:line="240" w:lineRule="auto"/>
        <w:jc w:val="both"/>
        <w:rPr>
          <w:rFonts w:ascii="Arial" w:hAnsi="Arial"/>
        </w:rPr>
      </w:pPr>
    </w:p>
    <w:tbl>
      <w:tblPr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27182" w:rsidRPr="005B6AB9" w:rsidTr="00E92CB3">
        <w:trPr>
          <w:jc w:val="center"/>
        </w:trPr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427182" w:rsidRPr="005B6AB9" w:rsidRDefault="00427182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5B6AB9">
              <w:rPr>
                <w:rFonts w:ascii="Arial" w:hAnsi="Arial"/>
                <w:b/>
                <w:sz w:val="20"/>
                <w:szCs w:val="20"/>
              </w:rPr>
              <w:t xml:space="preserve">Рис. </w:t>
            </w:r>
            <w:r w:rsidR="00E92CB3">
              <w:rPr>
                <w:rFonts w:ascii="Arial" w:hAnsi="Arial"/>
                <w:b/>
                <w:sz w:val="20"/>
                <w:szCs w:val="20"/>
              </w:rPr>
              <w:t>3</w:t>
            </w:r>
            <w:r w:rsidRPr="005B6AB9">
              <w:rPr>
                <w:rFonts w:ascii="Arial" w:hAnsi="Arial"/>
                <w:b/>
                <w:sz w:val="20"/>
                <w:szCs w:val="20"/>
              </w:rPr>
              <w:t>. Ежегодное количество зарегистрированных случаев ТБ в Казахстане, 2008-2017 гг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427182" w:rsidRPr="005B6AB9" w:rsidRDefault="00427182" w:rsidP="00E92CB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B6AB9">
              <w:rPr>
                <w:rFonts w:ascii="Arial" w:hAnsi="Arial"/>
                <w:b/>
                <w:sz w:val="20"/>
                <w:szCs w:val="20"/>
              </w:rPr>
              <w:t xml:space="preserve">Рис. </w:t>
            </w:r>
            <w:r w:rsidR="00E92CB3">
              <w:rPr>
                <w:rFonts w:ascii="Arial" w:hAnsi="Arial"/>
                <w:b/>
                <w:sz w:val="20"/>
                <w:szCs w:val="20"/>
              </w:rPr>
              <w:t>4</w:t>
            </w:r>
            <w:r w:rsidRPr="005B6AB9">
              <w:rPr>
                <w:rFonts w:ascii="Arial" w:hAnsi="Arial"/>
                <w:b/>
                <w:sz w:val="20"/>
                <w:szCs w:val="20"/>
              </w:rPr>
              <w:t>. Регистрируемая заболеваемость ТБ в Казахстане на 100,000 населения, 2008-2017 гг.</w:t>
            </w:r>
          </w:p>
        </w:tc>
      </w:tr>
      <w:tr w:rsidR="00427182" w:rsidRPr="009527D4" w:rsidTr="00E92CB3">
        <w:trPr>
          <w:jc w:val="center"/>
        </w:trPr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427182" w:rsidRPr="009527D4" w:rsidRDefault="00427182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</w:rPr>
            </w:pPr>
            <w:r w:rsidRPr="00DF2F92">
              <w:rPr>
                <w:rFonts w:eastAsia="SimSun" w:cs="Calibri"/>
                <w:noProof/>
                <w:lang w:val="en-US"/>
              </w:rPr>
              <w:drawing>
                <wp:inline distT="0" distB="0" distL="0" distR="0" wp14:anchorId="0C1C110B" wp14:editId="2BC69755">
                  <wp:extent cx="2853690" cy="27203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  <w:tcMar>
              <w:left w:w="28" w:type="dxa"/>
              <w:right w:w="28" w:type="dxa"/>
            </w:tcMar>
          </w:tcPr>
          <w:p w:rsidR="00427182" w:rsidRPr="009527D4" w:rsidRDefault="00427182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</w:rPr>
            </w:pPr>
            <w:r w:rsidRPr="00DF2F92">
              <w:rPr>
                <w:rFonts w:eastAsia="SimSun" w:cs="Calibri"/>
                <w:noProof/>
                <w:lang w:val="en-US"/>
              </w:rPr>
              <w:drawing>
                <wp:inline distT="0" distB="0" distL="0" distR="0" wp14:anchorId="7CA86487" wp14:editId="63258846">
                  <wp:extent cx="2876550" cy="2716530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82" w:rsidRPr="009527D4" w:rsidTr="00E92CB3">
        <w:trPr>
          <w:jc w:val="center"/>
        </w:trPr>
        <w:tc>
          <w:tcPr>
            <w:tcW w:w="90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27182" w:rsidRPr="009527D4" w:rsidRDefault="00427182" w:rsidP="00E92CB3">
            <w:pPr>
              <w:spacing w:after="0" w:line="240" w:lineRule="auto"/>
              <w:jc w:val="center"/>
              <w:rPr>
                <w:rFonts w:ascii="Arial" w:eastAsia="MS Mincho" w:hAnsi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Источник</w:t>
            </w:r>
            <w:r>
              <w:rPr>
                <w:rFonts w:ascii="Arial" w:hAnsi="Arial"/>
                <w:sz w:val="18"/>
                <w:szCs w:val="18"/>
              </w:rPr>
              <w:t>: ННЦФ</w:t>
            </w:r>
          </w:p>
        </w:tc>
      </w:tr>
    </w:tbl>
    <w:p w:rsidR="00947CA1" w:rsidRDefault="00947CA1">
      <w:pPr>
        <w:rPr>
          <w:rFonts w:ascii="Arial" w:hAnsi="Arial"/>
        </w:rPr>
      </w:pP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В следующей таблице представлена разбивка </w:t>
      </w:r>
      <w:r w:rsidR="00B03AE1">
        <w:rPr>
          <w:rFonts w:ascii="Arial" w:hAnsi="Arial"/>
        </w:rPr>
        <w:t>зарегистрированных</w:t>
      </w:r>
      <w:r>
        <w:rPr>
          <w:rFonts w:ascii="Arial" w:hAnsi="Arial"/>
        </w:rPr>
        <w:t xml:space="preserve"> случаев ТБ по категориям за последние пять лет.</w:t>
      </w:r>
    </w:p>
    <w:p w:rsidR="009E61EB" w:rsidRPr="005B6AB9" w:rsidRDefault="009E61EB" w:rsidP="009E61EB">
      <w:pPr>
        <w:spacing w:before="60" w:after="60" w:line="240" w:lineRule="auto"/>
        <w:jc w:val="center"/>
        <w:rPr>
          <w:rFonts w:ascii="Arial" w:eastAsia="MS Mincho" w:hAnsi="Arial"/>
          <w:b/>
          <w:sz w:val="20"/>
          <w:szCs w:val="20"/>
        </w:rPr>
      </w:pPr>
      <w:r w:rsidRPr="005B6AB9">
        <w:rPr>
          <w:rFonts w:ascii="Arial" w:hAnsi="Arial"/>
          <w:b/>
          <w:sz w:val="20"/>
          <w:szCs w:val="20"/>
        </w:rPr>
        <w:t>Таблица 1. Ежегодное количество зарегистрированных случаев ТБ в Казахстане по категориям, 2013-2017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97"/>
        <w:gridCol w:w="897"/>
        <w:gridCol w:w="897"/>
        <w:gridCol w:w="897"/>
        <w:gridCol w:w="897"/>
      </w:tblGrid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884690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2013</w:t>
            </w:r>
          </w:p>
        </w:tc>
        <w:tc>
          <w:tcPr>
            <w:tcW w:w="897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2014</w:t>
            </w:r>
          </w:p>
        </w:tc>
        <w:tc>
          <w:tcPr>
            <w:tcW w:w="897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2015</w:t>
            </w:r>
          </w:p>
        </w:tc>
        <w:tc>
          <w:tcPr>
            <w:tcW w:w="897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2016</w:t>
            </w:r>
          </w:p>
        </w:tc>
        <w:tc>
          <w:tcPr>
            <w:tcW w:w="897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2017</w:t>
            </w:r>
          </w:p>
        </w:tc>
      </w:tr>
      <w:tr w:rsidR="009E61EB" w:rsidRPr="00E71C70" w:rsidTr="00DC3DD1">
        <w:tc>
          <w:tcPr>
            <w:tcW w:w="4531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Новые случаи, всего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12 510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11 480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10 255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9 381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9 417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Новые легочные бакт. подтвержденные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7 942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8 026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6 505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6 930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6 798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Новые легочные клин. диагностированные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2 931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1 883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2 303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1 248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1 335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Новые случаи внелегочного туберкулеза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1 637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1 571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1 447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1 203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1 284</w:t>
            </w:r>
          </w:p>
        </w:tc>
      </w:tr>
      <w:tr w:rsidR="009E61EB" w:rsidRPr="00E71C70" w:rsidTr="00DC3DD1">
        <w:tc>
          <w:tcPr>
            <w:tcW w:w="4531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Повторные случаи, всего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7 347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7 682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6 468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5 546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4 854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Рецидивы легочные бакт. подтвержденные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5 190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5 412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4 957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4 383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3 937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Рецидивы легочные клин. диагностированные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251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Рецидивы внелегочные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173</w:t>
            </w:r>
          </w:p>
        </w:tc>
      </w:tr>
      <w:tr w:rsidR="009E61EB" w:rsidRPr="009527D4" w:rsidTr="00DC3DD1">
        <w:tc>
          <w:tcPr>
            <w:tcW w:w="4531" w:type="dxa"/>
            <w:shd w:val="clear" w:color="auto" w:fill="auto"/>
          </w:tcPr>
          <w:p w:rsidR="009E61EB" w:rsidRPr="009527D4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Другие повторные случаи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9527D4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493</w:t>
            </w:r>
          </w:p>
        </w:tc>
      </w:tr>
      <w:tr w:rsidR="009E61EB" w:rsidRPr="00E71C70" w:rsidTr="00DC3DD1">
        <w:tc>
          <w:tcPr>
            <w:tcW w:w="4531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Другие случаи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center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9E61EB" w:rsidRPr="00E71C70" w:rsidTr="00DC3DD1">
        <w:tc>
          <w:tcPr>
            <w:tcW w:w="4531" w:type="dxa"/>
            <w:shd w:val="clear" w:color="auto" w:fill="auto"/>
          </w:tcPr>
          <w:p w:rsidR="009E61EB" w:rsidRPr="00E71C70" w:rsidRDefault="009E61EB" w:rsidP="00DC3DD1">
            <w:pPr>
              <w:spacing w:before="40" w:after="40" w:line="240" w:lineRule="auto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Все случаи ТБ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both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19 857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both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19 162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both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16 723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both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14 927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61EB" w:rsidRPr="00E71C70" w:rsidRDefault="009E61EB" w:rsidP="00DC3DD1">
            <w:pPr>
              <w:spacing w:before="40" w:after="40" w:line="240" w:lineRule="auto"/>
              <w:jc w:val="both"/>
              <w:rPr>
                <w:rFonts w:ascii="Arial" w:eastAsia="MS Mincho" w:hAnsi="Arial"/>
                <w:b/>
                <w:sz w:val="20"/>
                <w:szCs w:val="20"/>
              </w:rPr>
            </w:pPr>
            <w:r w:rsidRPr="00E71C70">
              <w:rPr>
                <w:rFonts w:ascii="Arial" w:hAnsi="Arial"/>
                <w:b/>
                <w:sz w:val="20"/>
                <w:szCs w:val="20"/>
              </w:rPr>
              <w:t>14 271</w:t>
            </w:r>
          </w:p>
        </w:tc>
      </w:tr>
    </w:tbl>
    <w:p w:rsidR="009E61EB" w:rsidRPr="009527D4" w:rsidRDefault="009E61EB" w:rsidP="009E61EB">
      <w:pPr>
        <w:spacing w:before="60" w:after="6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  <w:i/>
          <w:sz w:val="18"/>
          <w:szCs w:val="18"/>
        </w:rPr>
        <w:t>Источник</w:t>
      </w:r>
      <w:r>
        <w:rPr>
          <w:rFonts w:ascii="Arial" w:hAnsi="Arial"/>
          <w:sz w:val="18"/>
          <w:szCs w:val="18"/>
        </w:rPr>
        <w:t>: ННЦФ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В 2017 году зарегистрированные случаи заболевания </w:t>
      </w:r>
      <w:r w:rsidR="00B03AE1">
        <w:rPr>
          <w:rFonts w:ascii="Arial" w:hAnsi="Arial"/>
        </w:rPr>
        <w:t xml:space="preserve">ТБ </w:t>
      </w:r>
      <w:r>
        <w:rPr>
          <w:rFonts w:ascii="Arial" w:hAnsi="Arial"/>
        </w:rPr>
        <w:t xml:space="preserve">были распределены следующим образом: 60,5% - мужчины, 39,5% - женщины. Соотношение между мужчинами и женщинами составило 1,53 (в 2013-2016 годах данный показатель варьировался от 1,53 до 1,66). Заболеванию ТБ в основном подвержено экономически активное население. В 2017 году наибольшее количество новых случаев и рецидивов было зарегистрировано среди возрастных групп 25-34 года и 35-44 года: 43,1% (в предыдущие четыре года данный показатель составлял 44-46%). Среди пожилых людей показатель </w:t>
      </w:r>
      <w:r w:rsidR="0070191F">
        <w:rPr>
          <w:rFonts w:ascii="Arial" w:hAnsi="Arial"/>
        </w:rPr>
        <w:t>зарегистрированных</w:t>
      </w:r>
      <w:r>
        <w:rPr>
          <w:rFonts w:ascii="Arial" w:hAnsi="Arial"/>
        </w:rPr>
        <w:t xml:space="preserve"> случаев ТБ постепенно увеличивается: в возрастной группе старше 65 лет </w:t>
      </w:r>
      <w:r w:rsidR="00B03AE1">
        <w:rPr>
          <w:rFonts w:ascii="Arial" w:hAnsi="Arial"/>
        </w:rPr>
        <w:t>он</w:t>
      </w:r>
      <w:r>
        <w:rPr>
          <w:rFonts w:ascii="Arial" w:hAnsi="Arial"/>
        </w:rPr>
        <w:t xml:space="preserve"> увеличился с 6,4% в 2013 году до 10,0% в 2017 году.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Согласно оценке ВОЗ, число </w:t>
      </w:r>
      <w:r w:rsidR="00512B59">
        <w:rPr>
          <w:rFonts w:ascii="Arial" w:hAnsi="Arial"/>
        </w:rPr>
        <w:t xml:space="preserve">новых </w:t>
      </w:r>
      <w:r>
        <w:rPr>
          <w:rFonts w:ascii="Arial" w:hAnsi="Arial"/>
        </w:rPr>
        <w:t>случаев ТБ среди детей (в возрасте от 0 до 14 лет) в 2017 году</w:t>
      </w:r>
      <w:r w:rsidR="00FB27FD">
        <w:rPr>
          <w:rFonts w:ascii="Arial" w:hAnsi="Arial"/>
        </w:rPr>
        <w:t xml:space="preserve"> </w:t>
      </w:r>
      <w:r w:rsidR="00512B59">
        <w:rPr>
          <w:rFonts w:ascii="Arial" w:hAnsi="Arial"/>
        </w:rPr>
        <w:t>соста</w:t>
      </w:r>
      <w:r w:rsidR="00784036">
        <w:rPr>
          <w:rFonts w:ascii="Arial" w:hAnsi="Arial"/>
        </w:rPr>
        <w:t>в</w:t>
      </w:r>
      <w:r w:rsidR="00512B59">
        <w:rPr>
          <w:rFonts w:ascii="Arial" w:hAnsi="Arial"/>
        </w:rPr>
        <w:t>ляло</w:t>
      </w:r>
      <w:r w:rsidR="00FB27FD">
        <w:rPr>
          <w:rFonts w:ascii="Arial" w:hAnsi="Arial"/>
        </w:rPr>
        <w:t xml:space="preserve"> 1200</w:t>
      </w:r>
      <w:r>
        <w:rPr>
          <w:rFonts w:ascii="Arial" w:hAnsi="Arial"/>
        </w:rPr>
        <w:t>, но из них было зарегистрировано только 404 случая (33,7% от оцененного числа). В течение предыдущих четырех лет абсолютное число случаев заболеваемости ТБ среди детей значительно сокращалось (2013 г. - 511, 2014 г. - 452, 2015 г. - 392 и 2016 г. - 326). Доля возрастной группы от 0 до 14 лет в объеме впервые выявленных случаев ТБ в 2017 году составила 3,2%, что несколько выше, чем в 2013-2016 годах, когда данный показатель варьировался в пределах 2,7-3</w:t>
      </w:r>
      <w:r w:rsidRPr="00DD7C44">
        <w:rPr>
          <w:rFonts w:ascii="Arial" w:hAnsi="Arial"/>
        </w:rPr>
        <w:t>,0%</w:t>
      </w:r>
      <w:r w:rsidR="0070191F" w:rsidRPr="00DD7C44">
        <w:rPr>
          <w:rStyle w:val="FootnoteReference"/>
          <w:rFonts w:ascii="Arial" w:hAnsi="Arial"/>
        </w:rPr>
        <w:footnoteReference w:id="5"/>
      </w:r>
      <w:r w:rsidRPr="00DD7C44">
        <w:rPr>
          <w:rFonts w:ascii="Arial" w:hAnsi="Arial"/>
        </w:rPr>
        <w:t>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С течением времени уровень смертности от ТБ неуклонно </w:t>
      </w:r>
      <w:r w:rsidR="007F12A1">
        <w:rPr>
          <w:rFonts w:ascii="Arial" w:hAnsi="Arial"/>
        </w:rPr>
        <w:t>снижается</w:t>
      </w:r>
      <w:r>
        <w:rPr>
          <w:rFonts w:ascii="Arial" w:hAnsi="Arial"/>
        </w:rPr>
        <w:t>. По данным европейского отделения ВОЗ</w:t>
      </w:r>
      <w:r w:rsidRPr="009527D4">
        <w:rPr>
          <w:rStyle w:val="FootnoteReference"/>
          <w:rFonts w:ascii="Arial" w:hAnsi="Arial" w:cs="Arial"/>
        </w:rPr>
        <w:footnoteReference w:id="6"/>
      </w:r>
      <w:r>
        <w:rPr>
          <w:rFonts w:ascii="Arial" w:hAnsi="Arial"/>
        </w:rPr>
        <w:t xml:space="preserve">, ввиду достаточности охвата и надлежащего качества государственной системы регистрации актов гражданского состояния эта тенденция отражает истинное снижение бремени ТБ в стране. Согласно оценке ВОЗ, показатель смертности в Казахстане является одним из самых низких среди стран бывшего Советского Союза, и за последние 10 лет он уменьшился более чем в 17 раз (с 19 до 1,1 на 100 000 населения, включая смертность от ВИЧ-ассоциированного туберкулеза). Эта оценка подтверждается данными из государственной системы регистрации актов гражданского состояния: в период с 2008 по 2017 год показатель смертности от </w:t>
      </w:r>
      <w:r w:rsidR="007F12A1">
        <w:rPr>
          <w:rFonts w:ascii="Arial" w:hAnsi="Arial"/>
        </w:rPr>
        <w:t xml:space="preserve">ТБ </w:t>
      </w:r>
      <w:r>
        <w:rPr>
          <w:rFonts w:ascii="Arial" w:hAnsi="Arial"/>
        </w:rPr>
        <w:t>снизился с 16,6 до 3,0 случаев на 100 000 населения.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Высокое бремя устойчивости к противотуберкулезным препаратам является ключев</w:t>
      </w:r>
      <w:r w:rsidR="00512B59">
        <w:rPr>
          <w:rFonts w:ascii="Arial" w:hAnsi="Arial"/>
        </w:rPr>
        <w:t>ым</w:t>
      </w:r>
      <w:r>
        <w:rPr>
          <w:rFonts w:ascii="Arial" w:hAnsi="Arial"/>
        </w:rPr>
        <w:t xml:space="preserve"> </w:t>
      </w:r>
      <w:r w:rsidR="00512B59">
        <w:rPr>
          <w:rFonts w:ascii="Arial" w:hAnsi="Arial"/>
        </w:rPr>
        <w:t>вызовом</w:t>
      </w:r>
      <w:r>
        <w:rPr>
          <w:rFonts w:ascii="Arial" w:hAnsi="Arial"/>
        </w:rPr>
        <w:t xml:space="preserve"> для Национальной программы борьбы с туберкулезом (НПТ) и основным </w:t>
      </w:r>
      <w:r>
        <w:rPr>
          <w:rFonts w:ascii="Arial" w:hAnsi="Arial"/>
        </w:rPr>
        <w:lastRenderedPageBreak/>
        <w:t xml:space="preserve">препятствием для эффективного контроля заболеваемости </w:t>
      </w:r>
      <w:r w:rsidR="003D126D">
        <w:rPr>
          <w:rFonts w:ascii="Arial" w:hAnsi="Arial"/>
        </w:rPr>
        <w:t xml:space="preserve">ТБ </w:t>
      </w:r>
      <w:r>
        <w:rPr>
          <w:rFonts w:ascii="Arial" w:hAnsi="Arial"/>
        </w:rPr>
        <w:t xml:space="preserve">в стране. Согласно данным НПТ за 2017 год, результаты теста на лекарственную чувствительность (ТЛЧ) к противотуберкулезным препаратам </w:t>
      </w:r>
      <w:r w:rsidR="00AA0737">
        <w:rPr>
          <w:rFonts w:ascii="Arial" w:hAnsi="Arial"/>
        </w:rPr>
        <w:t>первого ряда</w:t>
      </w:r>
      <w:r>
        <w:rPr>
          <w:rFonts w:ascii="Arial" w:hAnsi="Arial"/>
        </w:rPr>
        <w:t xml:space="preserve"> (</w:t>
      </w:r>
      <w:r w:rsidR="00AA0737">
        <w:rPr>
          <w:rFonts w:ascii="Arial" w:hAnsi="Arial"/>
        </w:rPr>
        <w:t>ППР</w:t>
      </w:r>
      <w:r>
        <w:rPr>
          <w:rFonts w:ascii="Arial" w:hAnsi="Arial"/>
        </w:rPr>
        <w:t xml:space="preserve">), проведенного областными </w:t>
      </w:r>
      <w:r w:rsidR="00512B59">
        <w:rPr>
          <w:rFonts w:ascii="Arial" w:hAnsi="Arial"/>
        </w:rPr>
        <w:t>референс</w:t>
      </w:r>
      <w:r>
        <w:rPr>
          <w:rFonts w:ascii="Arial" w:hAnsi="Arial"/>
        </w:rPr>
        <w:t xml:space="preserve"> лабораториями и Национальной </w:t>
      </w:r>
      <w:r w:rsidR="00512B59">
        <w:rPr>
          <w:rFonts w:ascii="Arial" w:hAnsi="Arial"/>
        </w:rPr>
        <w:t xml:space="preserve">референс </w:t>
      </w:r>
      <w:r>
        <w:rPr>
          <w:rFonts w:ascii="Arial" w:hAnsi="Arial"/>
        </w:rPr>
        <w:t xml:space="preserve">лабораторией (НСР) показали, что доля </w:t>
      </w:r>
      <w:r w:rsidR="003D126D">
        <w:rPr>
          <w:rFonts w:ascii="Arial" w:hAnsi="Arial"/>
        </w:rPr>
        <w:t>случае</w:t>
      </w:r>
      <w:r w:rsidR="00512B59">
        <w:rPr>
          <w:rFonts w:ascii="Arial" w:hAnsi="Arial"/>
        </w:rPr>
        <w:t>в</w:t>
      </w:r>
      <w:r w:rsidR="003D12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туберкулеза, устойчивого к </w:t>
      </w:r>
      <w:proofErr w:type="spellStart"/>
      <w:r>
        <w:rPr>
          <w:rFonts w:ascii="Arial" w:hAnsi="Arial"/>
        </w:rPr>
        <w:t>рифампицину</w:t>
      </w:r>
      <w:proofErr w:type="spellEnd"/>
      <w:r>
        <w:rPr>
          <w:rFonts w:ascii="Arial" w:hAnsi="Arial"/>
        </w:rPr>
        <w:t xml:space="preserve"> (РУ-ТБ), составила 25,9% среди новых случаев и 44,0% среди повторных случаев. Тенденции распространенности РУ-ТБ среди новых и повторных случаев за последние девять лет показаны на Рисунке </w:t>
      </w:r>
      <w:r w:rsidR="0020044E">
        <w:rPr>
          <w:rFonts w:ascii="Arial" w:hAnsi="Arial"/>
        </w:rPr>
        <w:t>5</w:t>
      </w:r>
      <w:r>
        <w:rPr>
          <w:rFonts w:ascii="Arial" w:hAnsi="Arial"/>
        </w:rPr>
        <w:t>.</w:t>
      </w:r>
    </w:p>
    <w:p w:rsidR="009E61EB" w:rsidRPr="00247A01" w:rsidRDefault="009E61EB" w:rsidP="009E61EB">
      <w:pPr>
        <w:spacing w:before="60" w:after="60" w:line="240" w:lineRule="auto"/>
        <w:jc w:val="center"/>
        <w:rPr>
          <w:rFonts w:ascii="Arial" w:hAnsi="Arial"/>
          <w:b/>
          <w:sz w:val="20"/>
        </w:rPr>
      </w:pPr>
      <w:r w:rsidRPr="00247A01">
        <w:rPr>
          <w:rFonts w:ascii="Arial" w:hAnsi="Arial"/>
          <w:b/>
          <w:sz w:val="20"/>
        </w:rPr>
        <w:t xml:space="preserve">Рис. </w:t>
      </w:r>
      <w:r w:rsidR="0020044E">
        <w:rPr>
          <w:rFonts w:ascii="Arial" w:hAnsi="Arial"/>
          <w:b/>
          <w:sz w:val="20"/>
        </w:rPr>
        <w:t>5</w:t>
      </w:r>
      <w:r w:rsidRPr="00247A01">
        <w:rPr>
          <w:rFonts w:ascii="Arial" w:hAnsi="Arial"/>
          <w:b/>
          <w:sz w:val="20"/>
        </w:rPr>
        <w:t xml:space="preserve">. </w:t>
      </w:r>
      <w:r w:rsidR="00F825F6" w:rsidRPr="00247A01">
        <w:rPr>
          <w:rFonts w:ascii="Arial" w:hAnsi="Arial"/>
          <w:b/>
          <w:sz w:val="20"/>
        </w:rPr>
        <w:t xml:space="preserve">Пропорция </w:t>
      </w:r>
      <w:r w:rsidR="00571454">
        <w:rPr>
          <w:rFonts w:ascii="Arial" w:hAnsi="Arial"/>
          <w:b/>
          <w:sz w:val="20"/>
        </w:rPr>
        <w:t>Р</w:t>
      </w:r>
      <w:r w:rsidR="00223364">
        <w:rPr>
          <w:rFonts w:ascii="Arial" w:hAnsi="Arial"/>
          <w:b/>
          <w:sz w:val="20"/>
        </w:rPr>
        <w:t>У</w:t>
      </w:r>
      <w:r w:rsidR="00F825F6" w:rsidRPr="00247A01">
        <w:rPr>
          <w:rFonts w:ascii="Arial" w:hAnsi="Arial"/>
          <w:b/>
          <w:sz w:val="20"/>
        </w:rPr>
        <w:t>-ТБ среди новых и повторных случаев ТБ</w:t>
      </w:r>
      <w:r w:rsidR="00F825F6" w:rsidRPr="00247A01">
        <w:rPr>
          <w:rFonts w:ascii="Arial" w:hAnsi="Arial"/>
          <w:b/>
          <w:sz w:val="20"/>
        </w:rPr>
        <w:br/>
        <w:t xml:space="preserve">по результатам ТЛЧ к препаратам первого ряда в Казахстане, %, 2009-2017 </w:t>
      </w:r>
      <w:r w:rsidRPr="00247A01">
        <w:rPr>
          <w:rFonts w:ascii="Arial" w:hAnsi="Arial"/>
          <w:b/>
          <w:sz w:val="20"/>
        </w:rPr>
        <w:t>гг.</w:t>
      </w:r>
    </w:p>
    <w:p w:rsidR="009E61EB" w:rsidRPr="00884690" w:rsidRDefault="009E61EB" w:rsidP="009E61EB">
      <w:pPr>
        <w:spacing w:before="60" w:after="60" w:line="240" w:lineRule="auto"/>
        <w:jc w:val="center"/>
        <w:rPr>
          <w:rFonts w:cs="Calibri"/>
          <w:sz w:val="8"/>
          <w:szCs w:val="8"/>
        </w:rPr>
      </w:pPr>
    </w:p>
    <w:p w:rsidR="009E61EB" w:rsidRPr="009527D4" w:rsidRDefault="00571454" w:rsidP="009E61EB">
      <w:pPr>
        <w:spacing w:before="60" w:after="60" w:line="240" w:lineRule="auto"/>
        <w:jc w:val="center"/>
        <w:rPr>
          <w:rFonts w:cs="Calibri"/>
        </w:rPr>
      </w:pPr>
      <w:r w:rsidRPr="009527D4">
        <w:rPr>
          <w:rFonts w:cs="Calibri"/>
          <w:noProof/>
          <w:lang w:val="en-US"/>
        </w:rPr>
        <w:drawing>
          <wp:inline distT="0" distB="0" distL="0" distR="0" wp14:anchorId="31E9E1BD" wp14:editId="7485D03F">
            <wp:extent cx="4629347" cy="29227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63" cy="293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1EB" w:rsidRPr="009527D4" w:rsidRDefault="009E61EB" w:rsidP="009E61EB">
      <w:pPr>
        <w:spacing w:before="60" w:after="6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i/>
          <w:sz w:val="18"/>
          <w:szCs w:val="18"/>
        </w:rPr>
        <w:t>Источник</w:t>
      </w:r>
      <w:r>
        <w:rPr>
          <w:rFonts w:ascii="Arial" w:hAnsi="Arial"/>
          <w:sz w:val="18"/>
          <w:szCs w:val="18"/>
        </w:rPr>
        <w:t>: ННЦФ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Устойчивость к препаратам втор</w:t>
      </w:r>
      <w:r w:rsidR="00AA0737">
        <w:rPr>
          <w:rFonts w:ascii="Arial" w:hAnsi="Arial"/>
        </w:rPr>
        <w:t xml:space="preserve">ого ряда </w:t>
      </w:r>
      <w:r>
        <w:rPr>
          <w:rFonts w:ascii="Arial" w:hAnsi="Arial"/>
        </w:rPr>
        <w:t>(</w:t>
      </w:r>
      <w:r w:rsidR="00AA0737">
        <w:rPr>
          <w:rFonts w:ascii="Arial" w:hAnsi="Arial"/>
        </w:rPr>
        <w:t>ПВР</w:t>
      </w:r>
      <w:r>
        <w:rPr>
          <w:rFonts w:ascii="Arial" w:hAnsi="Arial"/>
        </w:rPr>
        <w:t xml:space="preserve">) представляет собой острую проблему для </w:t>
      </w:r>
      <w:r w:rsidR="00F5205D">
        <w:rPr>
          <w:rFonts w:ascii="Arial" w:hAnsi="Arial"/>
        </w:rPr>
        <w:t>НПТ</w:t>
      </w:r>
      <w:r>
        <w:rPr>
          <w:rFonts w:ascii="Arial" w:hAnsi="Arial"/>
        </w:rPr>
        <w:t xml:space="preserve">. </w:t>
      </w:r>
      <w:r w:rsidR="0020044E">
        <w:rPr>
          <w:rFonts w:ascii="Arial" w:hAnsi="Arial"/>
        </w:rPr>
        <w:t>Охват исследованиями ТЛЧ ПВР у</w:t>
      </w:r>
      <w:r w:rsidR="0020044E" w:rsidRPr="0020044E">
        <w:rPr>
          <w:rFonts w:ascii="Arial" w:hAnsi="Arial"/>
        </w:rPr>
        <w:t xml:space="preserve"> больных с МЛУ-ТБ улучш</w:t>
      </w:r>
      <w:r w:rsidR="0020044E">
        <w:rPr>
          <w:rFonts w:ascii="Arial" w:hAnsi="Arial"/>
        </w:rPr>
        <w:t>и</w:t>
      </w:r>
      <w:r w:rsidR="0020044E" w:rsidRPr="0020044E">
        <w:rPr>
          <w:rFonts w:ascii="Arial" w:hAnsi="Arial"/>
        </w:rPr>
        <w:t>лся: с 43,9% (3</w:t>
      </w:r>
      <w:r w:rsidR="0020044E">
        <w:rPr>
          <w:rFonts w:ascii="Arial" w:hAnsi="Arial"/>
        </w:rPr>
        <w:t>,</w:t>
      </w:r>
      <w:r w:rsidR="0020044E" w:rsidRPr="0020044E">
        <w:rPr>
          <w:rFonts w:ascii="Arial" w:hAnsi="Arial"/>
        </w:rPr>
        <w:t>587 из 8</w:t>
      </w:r>
      <w:r w:rsidR="0020044E">
        <w:rPr>
          <w:rFonts w:ascii="Arial" w:hAnsi="Arial"/>
        </w:rPr>
        <w:t>,</w:t>
      </w:r>
      <w:r w:rsidR="0020044E" w:rsidRPr="0020044E">
        <w:rPr>
          <w:rFonts w:ascii="Arial" w:hAnsi="Arial"/>
        </w:rPr>
        <w:t xml:space="preserve">165 протестированных случаев МЛУ) в 2013 году до 68,1% (5,114 / 7,509) в 2015 году, 73,3% (4,441 / 6060) в 2017 году и 74,0% </w:t>
      </w:r>
      <w:proofErr w:type="gramStart"/>
      <w:r w:rsidR="0020044E" w:rsidRPr="0020044E">
        <w:rPr>
          <w:rFonts w:ascii="Arial" w:hAnsi="Arial"/>
        </w:rPr>
        <w:t>( 3</w:t>
      </w:r>
      <w:proofErr w:type="gramEnd"/>
      <w:r w:rsidR="0020044E">
        <w:rPr>
          <w:rFonts w:ascii="Arial" w:hAnsi="Arial"/>
        </w:rPr>
        <w:t>,</w:t>
      </w:r>
      <w:r w:rsidR="0020044E" w:rsidRPr="0020044E">
        <w:rPr>
          <w:rFonts w:ascii="Arial" w:hAnsi="Arial"/>
        </w:rPr>
        <w:t>060</w:t>
      </w:r>
      <w:r w:rsidR="0020044E">
        <w:rPr>
          <w:rFonts w:ascii="Arial" w:hAnsi="Arial"/>
        </w:rPr>
        <w:t xml:space="preserve"> </w:t>
      </w:r>
      <w:r w:rsidR="0020044E" w:rsidRPr="0020044E">
        <w:rPr>
          <w:rFonts w:ascii="Arial" w:hAnsi="Arial"/>
        </w:rPr>
        <w:t>/</w:t>
      </w:r>
      <w:r w:rsidR="0020044E">
        <w:rPr>
          <w:rFonts w:ascii="Arial" w:hAnsi="Arial"/>
        </w:rPr>
        <w:t xml:space="preserve"> </w:t>
      </w:r>
      <w:r w:rsidR="0020044E" w:rsidRPr="0020044E">
        <w:rPr>
          <w:rFonts w:ascii="Arial" w:hAnsi="Arial"/>
        </w:rPr>
        <w:t>4</w:t>
      </w:r>
      <w:r w:rsidR="0020044E">
        <w:rPr>
          <w:rFonts w:ascii="Arial" w:hAnsi="Arial"/>
        </w:rPr>
        <w:t>,</w:t>
      </w:r>
      <w:r w:rsidR="0020044E" w:rsidRPr="0020044E">
        <w:rPr>
          <w:rFonts w:ascii="Arial" w:hAnsi="Arial"/>
        </w:rPr>
        <w:t>133) в течение первых 9 месяцев 2018 года.</w:t>
      </w:r>
      <w:r w:rsidR="0020044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 фоне общей тенденции к сокращению количества регистрируемых случаев ТБ за последнее десятилетие общее число случаев МЛУ-ТБ в стране также сокращается (например, с 8048 случаев в 2014 году до 6210 случаев в 2017 году), при этом доля и абсолютное количество случаев с устойчивостью к </w:t>
      </w:r>
      <w:r w:rsidR="00AA0737">
        <w:rPr>
          <w:rFonts w:ascii="Arial" w:hAnsi="Arial"/>
        </w:rPr>
        <w:t>ПВР</w:t>
      </w:r>
      <w:r>
        <w:rPr>
          <w:rFonts w:ascii="Arial" w:hAnsi="Arial"/>
        </w:rPr>
        <w:t xml:space="preserve"> растет. За тот же период (2014-2017 гг.)</w:t>
      </w:r>
      <w:r w:rsidR="00571454">
        <w:rPr>
          <w:rFonts w:ascii="Arial" w:hAnsi="Arial"/>
        </w:rPr>
        <w:t xml:space="preserve"> количество и доля случаев «пре</w:t>
      </w:r>
      <w:r>
        <w:rPr>
          <w:rFonts w:ascii="Arial" w:hAnsi="Arial"/>
        </w:rPr>
        <w:t>-ШЛУ-ТБ» и ШЛУ-ТБ увеличились с 1766 (21,9%) до 1989 (32,0%), соответственно. В связи с данной тенденцией НПТ приходится мобилизовать все ресурсы и усилия для обеспечения всех пациентов доступом к быстрой и качественной диагностике ТБ и лекарственно-устойчивого ТБ и надлежащему лечению в зависимости от профиля устойчивости.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Туберкулез все еще представляет важную проблему в пенитенциарном секторе. Успешная реализация реформы уголовного права, включая применение альтернативных санкций, позволила сократить количество заключенных. В 1998 году Казахстан занимал третье место в мире по численности заключенных, а в 2017 году он находился уже на 82-м месте. Среднегодовое количество лиц, находящихся в местах лишения свободы у</w:t>
      </w:r>
      <w:r w:rsidR="00AA0737">
        <w:rPr>
          <w:rFonts w:ascii="Arial" w:hAnsi="Arial"/>
        </w:rPr>
        <w:t>головно-исполнительной системы</w:t>
      </w:r>
      <w:r>
        <w:rPr>
          <w:rFonts w:ascii="Arial" w:hAnsi="Arial"/>
        </w:rPr>
        <w:t xml:space="preserve"> Казахстана, в 2017 году составило 35,5 тыс</w:t>
      </w:r>
      <w:r w:rsidR="0048534E">
        <w:rPr>
          <w:rFonts w:ascii="Arial" w:hAnsi="Arial"/>
        </w:rPr>
        <w:t>.</w:t>
      </w:r>
      <w:r>
        <w:rPr>
          <w:rFonts w:ascii="Arial" w:hAnsi="Arial"/>
        </w:rPr>
        <w:t xml:space="preserve"> человек.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За последнее десятилетие уровень заболеваемость ТБ в пенитенциарной системе значительно снизился. Ежегодное количество случаев активного ТБ в учреждениях содержания под стражей и следственных изоляторах в период с 2008 по 2017 год </w:t>
      </w:r>
      <w:r>
        <w:rPr>
          <w:rFonts w:ascii="Arial" w:hAnsi="Arial"/>
        </w:rPr>
        <w:lastRenderedPageBreak/>
        <w:t>сократилось в 4,8 раза и в 2,5 раза, соответственно (в 4,2 раза в общей сложности). Уровень всех случаев ТБ на 100 000 заключенных за тот же период сократился с 5406 до 2015 человек (в 2,7 раза), при этом он был в 25 раз выше по сравнению с уровнем в масштабе всей страны.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В связи с уменьшением общего количества заключенных и тенденцией к сокращению случаев ТБ абсолютное количество пациентов с лекарственно-устойчивым ТБ в пенитенциарной системе за последние годы также значительно уменьшилось. Если за период с 2012 по 2013 годы было зарегистрировано более 800 случаев МЛУ-ТБ, то в 2015 году количество таких случаев составило 652, в 2016 году - 435 и в 2017 году - 306. В 2017 году у 74,2% заключенных с активной формой ТБ наблюдался РУ/МЛУ-ТБ, а у 35,3% из них были зарегистрированы </w:t>
      </w:r>
      <w:r w:rsidR="00571454">
        <w:rPr>
          <w:rFonts w:ascii="Arial" w:hAnsi="Arial"/>
        </w:rPr>
        <w:t>широко</w:t>
      </w:r>
      <w:r>
        <w:rPr>
          <w:rFonts w:ascii="Arial" w:hAnsi="Arial"/>
        </w:rPr>
        <w:t xml:space="preserve"> лека</w:t>
      </w:r>
      <w:r w:rsidR="00571454">
        <w:rPr>
          <w:rFonts w:ascii="Arial" w:hAnsi="Arial"/>
        </w:rPr>
        <w:t>рственно-устойчивые формы («пре</w:t>
      </w:r>
      <w:r>
        <w:rPr>
          <w:rFonts w:ascii="Arial" w:hAnsi="Arial"/>
        </w:rPr>
        <w:t xml:space="preserve">-ШЛУ-ТБ» и ШЛУ-ТБ). 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ВИЧ-ассоциированный туберкулез представляет собой </w:t>
      </w:r>
      <w:r w:rsidR="008A7057">
        <w:rPr>
          <w:rFonts w:ascii="Arial" w:hAnsi="Arial"/>
        </w:rPr>
        <w:t>острую проблему</w:t>
      </w:r>
      <w:r>
        <w:rPr>
          <w:rFonts w:ascii="Arial" w:hAnsi="Arial"/>
        </w:rPr>
        <w:t xml:space="preserve">. </w:t>
      </w:r>
      <w:r w:rsidRPr="00A36DEF">
        <w:rPr>
          <w:rFonts w:ascii="Arial" w:hAnsi="Arial"/>
        </w:rPr>
        <w:t xml:space="preserve">Казахстан находится на </w:t>
      </w:r>
      <w:r w:rsidR="00A36DEF" w:rsidRPr="00FB30B7">
        <w:rPr>
          <w:rFonts w:ascii="Arial" w:hAnsi="Arial"/>
        </w:rPr>
        <w:t>концентрированной стадии</w:t>
      </w:r>
      <w:r w:rsidRPr="00A36DEF">
        <w:rPr>
          <w:rFonts w:ascii="Arial" w:hAnsi="Arial"/>
        </w:rPr>
        <w:t xml:space="preserve"> развития ВИЧ.</w:t>
      </w:r>
      <w:r>
        <w:rPr>
          <w:rFonts w:ascii="Arial" w:hAnsi="Arial"/>
        </w:rPr>
        <w:t xml:space="preserve"> По оценкам Объединенной программы ООН по ВИЧ/СПИДу, в 2017 году в стране насчитывалось 27000 человек, живущих с ВИЧ (ЛЖВ)</w:t>
      </w:r>
      <w:r w:rsidRPr="009527D4">
        <w:rPr>
          <w:rFonts w:ascii="Arial" w:eastAsia="MS Mincho" w:hAnsi="Arial"/>
          <w:vertAlign w:val="superscript"/>
        </w:rPr>
        <w:footnoteReference w:id="7"/>
      </w:r>
      <w:r>
        <w:rPr>
          <w:rFonts w:ascii="Arial" w:hAnsi="Arial"/>
        </w:rPr>
        <w:t xml:space="preserve">, включая 3700 </w:t>
      </w:r>
      <w:r w:rsidR="00571454">
        <w:rPr>
          <w:rFonts w:ascii="Arial" w:hAnsi="Arial"/>
        </w:rPr>
        <w:t>новых случаев</w:t>
      </w:r>
      <w:r>
        <w:rPr>
          <w:rFonts w:ascii="Arial" w:hAnsi="Arial"/>
        </w:rPr>
        <w:t xml:space="preserve"> инфицирован</w:t>
      </w:r>
      <w:r w:rsidR="00571454">
        <w:rPr>
          <w:rFonts w:ascii="Arial" w:hAnsi="Arial"/>
        </w:rPr>
        <w:t>ия</w:t>
      </w:r>
      <w:r>
        <w:rPr>
          <w:rFonts w:ascii="Arial" w:hAnsi="Arial"/>
        </w:rPr>
        <w:t>. Согласно оценке, коэффициент распространенности ВИЧ среди взрослого населения (в возрасте от 15 до 49 лет) составил 0,2%.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По данным Республиканского центра по профилактике и борьбе со СПИД, с момента возникновения эпидемии </w:t>
      </w:r>
      <w:r w:rsidR="00E57569">
        <w:rPr>
          <w:rFonts w:ascii="Arial" w:hAnsi="Arial"/>
        </w:rPr>
        <w:t xml:space="preserve">и </w:t>
      </w:r>
      <w:r>
        <w:rPr>
          <w:rFonts w:ascii="Arial" w:hAnsi="Arial"/>
        </w:rPr>
        <w:t xml:space="preserve">до конца 2017 года в стране было зарегистрировано 32 573 ВИЧ-положительных случая (29 980 из которых были зарегистрированы среди граждан Казахстана) и 9 448 случаев смерти; количество людей, живущих с ВИЧ, составило 20 841 человек (77,2% от количества, оцененного Объединенной программой ООН по ВИЧ/СПИДу). В течение 2017 года было зарегистрировано 3 023 новых случая инфицирования ВИЧ (81,7% от оценки Объединенной программой ООН по ВИЧ/СПИДу), включая 2 856 граждан Казахстана (16,2 на 100 000 населения). </w:t>
      </w:r>
    </w:p>
    <w:p w:rsidR="009E61EB" w:rsidRPr="009E61EB" w:rsidRDefault="009E61EB" w:rsidP="009E61EB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Основной путь передачи - это гетеросексуальные контакты (62,0% случаев); второе место занимает парентеральный путь передачи при употреблении наркотиков (29,2%). В ключевых </w:t>
      </w:r>
      <w:r w:rsidR="00E57569">
        <w:rPr>
          <w:rFonts w:ascii="Arial" w:hAnsi="Arial"/>
        </w:rPr>
        <w:t xml:space="preserve">затронутых </w:t>
      </w:r>
      <w:r>
        <w:rPr>
          <w:rFonts w:ascii="Arial" w:hAnsi="Arial"/>
        </w:rPr>
        <w:t>группах населения показатель распространенности ВИЧ оценивается на уровне 8,5% среди людей употребляющих инъекционные наркотики, 3,2% среди мужчин</w:t>
      </w:r>
      <w:r w:rsidR="00571454">
        <w:rPr>
          <w:rFonts w:ascii="Arial" w:hAnsi="Arial"/>
        </w:rPr>
        <w:t xml:space="preserve"> имеющих секс с другими мужчинами</w:t>
      </w:r>
      <w:r>
        <w:rPr>
          <w:rFonts w:ascii="Arial" w:hAnsi="Arial"/>
        </w:rPr>
        <w:t>, 2,7% среди заключенных и 1,9% среди работников секс-индустрии.</w:t>
      </w:r>
    </w:p>
    <w:p w:rsidR="003F2160" w:rsidRPr="009527D4" w:rsidRDefault="003F2160" w:rsidP="003F2160">
      <w:pPr>
        <w:spacing w:before="120" w:after="120" w:line="240" w:lineRule="auto"/>
        <w:jc w:val="both"/>
        <w:rPr>
          <w:rFonts w:ascii="Arial" w:eastAsia="MS Mincho" w:hAnsi="Arial"/>
          <w:b/>
        </w:rPr>
      </w:pPr>
      <w:r w:rsidRPr="00FB30B7">
        <w:rPr>
          <w:rFonts w:ascii="Arial" w:hAnsi="Arial"/>
        </w:rPr>
        <w:t xml:space="preserve">В 2017 году почти все (98%) находящиеся на лечении больные туберкулезом </w:t>
      </w:r>
      <w:r w:rsidR="00A5155B" w:rsidRPr="00FB30B7">
        <w:rPr>
          <w:rFonts w:ascii="Arial" w:hAnsi="Arial"/>
        </w:rPr>
        <w:t xml:space="preserve">прошли тест </w:t>
      </w:r>
      <w:r w:rsidRPr="00FB30B7">
        <w:rPr>
          <w:rFonts w:ascii="Arial" w:hAnsi="Arial"/>
        </w:rPr>
        <w:t>на ВИЧ</w:t>
      </w:r>
      <w:r w:rsidRPr="00A36DEF">
        <w:rPr>
          <w:rFonts w:ascii="Arial" w:hAnsi="Arial"/>
        </w:rPr>
        <w:t>,</w:t>
      </w:r>
      <w:r>
        <w:rPr>
          <w:rFonts w:ascii="Arial" w:hAnsi="Arial"/>
        </w:rPr>
        <w:t xml:space="preserve"> а 87% ЛЖВ, зарегистрированных в центрах по борьбе со СПИД, были подвергнуты скринингу на ТБ с применением различных методов. Количество зарегистрированных случаев (всех форм) ВИЧ-ассоциированного ТБ в 2017 году составило 734 по сравнению с 736 в 2016 году и 781 в 2015 году. Коэффициент распространенности ТБ/ВИЧ среди всех случаев ТБ в 2017 году составил 5,0% (2015 год - 4,7%, 2016 год - 4,9%).</w:t>
      </w:r>
      <w:r w:rsidR="003B75D6" w:rsidRPr="003B75D6">
        <w:rPr>
          <w:rFonts w:ascii="Arial" w:hAnsi="Arial"/>
        </w:rPr>
        <w:t xml:space="preserve"> </w:t>
      </w:r>
      <w:r w:rsidR="003B75D6" w:rsidRPr="003B75D6">
        <w:t xml:space="preserve"> </w:t>
      </w:r>
      <w:r w:rsidR="003B75D6" w:rsidRPr="003B75D6">
        <w:rPr>
          <w:rFonts w:ascii="Arial" w:hAnsi="Arial"/>
        </w:rPr>
        <w:t>В 2017 году в АРТ были включены 661 пациент с сочетанной к</w:t>
      </w:r>
      <w:r w:rsidR="003B75D6">
        <w:rPr>
          <w:rFonts w:ascii="Arial" w:hAnsi="Arial"/>
        </w:rPr>
        <w:t>о-</w:t>
      </w:r>
      <w:r w:rsidR="003B75D6" w:rsidRPr="003B75D6">
        <w:rPr>
          <w:rFonts w:ascii="Arial" w:hAnsi="Arial"/>
        </w:rPr>
        <w:t xml:space="preserve">инфекцией ТБ / ВИЧ, </w:t>
      </w:r>
      <w:r w:rsidR="003B75D6">
        <w:rPr>
          <w:rFonts w:ascii="Arial" w:hAnsi="Arial"/>
        </w:rPr>
        <w:t xml:space="preserve">охват АРТ </w:t>
      </w:r>
      <w:r w:rsidR="003B75D6" w:rsidRPr="003B75D6">
        <w:rPr>
          <w:rFonts w:ascii="Arial" w:hAnsi="Arial"/>
        </w:rPr>
        <w:t>состави</w:t>
      </w:r>
      <w:r w:rsidR="003B75D6">
        <w:rPr>
          <w:rFonts w:ascii="Arial" w:hAnsi="Arial"/>
        </w:rPr>
        <w:t>в</w:t>
      </w:r>
      <w:r w:rsidR="003B75D6" w:rsidRPr="003B75D6">
        <w:rPr>
          <w:rFonts w:ascii="Arial" w:hAnsi="Arial"/>
        </w:rPr>
        <w:t xml:space="preserve"> 90,1% среди </w:t>
      </w:r>
      <w:r w:rsidR="003B75D6">
        <w:rPr>
          <w:rFonts w:ascii="Arial" w:hAnsi="Arial"/>
        </w:rPr>
        <w:t xml:space="preserve">зарегистрированных </w:t>
      </w:r>
      <w:r w:rsidR="003B75D6" w:rsidRPr="003B75D6">
        <w:rPr>
          <w:rFonts w:ascii="Arial" w:hAnsi="Arial"/>
        </w:rPr>
        <w:t>пациентов с ТБ / ВИЧ, по сравнению с 87,2% в 2016 году (642 пациента из 736) и 65,3% (510 / 781) в 2015 году.</w:t>
      </w:r>
    </w:p>
    <w:p w:rsidR="003F2160" w:rsidRDefault="003F2160" w:rsidP="003F2160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Доля ВИЧ-инфицированных людей среди больных ТБ в пенитенциарной системе находится на высоком уровне и увеличивается с течением времени. В местах лишения свободы коэффициент распространенности ТБ/ВИЧ в 2011-2013 годах составлял около 9%, однако в последующие годы он значительно увеличился и составил 12,0% в 2014 году, 17,8% в 2015 году и 26,6% в 2016 году. В следственных изоляторах доля ВИЧ-</w:t>
      </w:r>
      <w:r>
        <w:rPr>
          <w:rFonts w:ascii="Arial" w:hAnsi="Arial"/>
        </w:rPr>
        <w:lastRenderedPageBreak/>
        <w:t>положительных случаев туберкулеза увеличилась с 5,0-5,7% в 2013-2015 годах до 13,5% в 2016 году.</w:t>
      </w:r>
    </w:p>
    <w:p w:rsidR="003F2160" w:rsidRPr="00380859" w:rsidRDefault="003F2160" w:rsidP="003F2160">
      <w:pPr>
        <w:spacing w:before="120" w:after="120" w:line="240" w:lineRule="auto"/>
        <w:jc w:val="center"/>
        <w:rPr>
          <w:rFonts w:ascii="Arial" w:eastAsia="MS Mincho" w:hAnsi="Arial"/>
          <w:b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</w:p>
    <w:p w:rsidR="003F2160" w:rsidRPr="00380859" w:rsidRDefault="003F2160" w:rsidP="003F2160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 xml:space="preserve">Далее приведены ключевые достижения </w:t>
      </w:r>
      <w:r w:rsidR="00AC1BDD">
        <w:rPr>
          <w:rFonts w:ascii="Arial" w:hAnsi="Arial"/>
        </w:rPr>
        <w:t>Н</w:t>
      </w:r>
      <w:r>
        <w:rPr>
          <w:rFonts w:ascii="Arial" w:hAnsi="Arial"/>
        </w:rPr>
        <w:t xml:space="preserve">ациональной программы борьбы с туберкулезом за последние годы, многие из которых были достигнуты благодаря </w:t>
      </w:r>
      <w:r w:rsidR="009105E3">
        <w:rPr>
          <w:rFonts w:ascii="Arial" w:hAnsi="Arial"/>
        </w:rPr>
        <w:t>важно</w:t>
      </w:r>
      <w:r>
        <w:rPr>
          <w:rFonts w:ascii="Arial" w:hAnsi="Arial"/>
        </w:rPr>
        <w:t>му вкладу Глобального фонда:</w:t>
      </w:r>
    </w:p>
    <w:p w:rsidR="00C94339" w:rsidRPr="00C94339" w:rsidRDefault="00C94339" w:rsidP="00C94339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 w:rsidRPr="00C94339">
        <w:rPr>
          <w:rFonts w:ascii="Arial" w:eastAsia="MS Mincho" w:hAnsi="Arial"/>
          <w:b w:val="0"/>
        </w:rPr>
        <w:t>Правительство Казахстана демонстрирует сильные и постоянные финансовые обязательства по борьбе с туберкулезом, включая выделение значительных финансовых ресурсов и содействие повышению эффективности, в том числе недавн</w:t>
      </w:r>
      <w:r>
        <w:rPr>
          <w:rFonts w:ascii="Arial" w:eastAsia="MS Mincho" w:hAnsi="Arial"/>
          <w:b w:val="0"/>
        </w:rPr>
        <w:t>ее</w:t>
      </w:r>
      <w:r w:rsidRPr="00C94339">
        <w:rPr>
          <w:rFonts w:ascii="Arial" w:eastAsia="MS Mincho" w:hAnsi="Arial"/>
          <w:b w:val="0"/>
        </w:rPr>
        <w:t xml:space="preserve"> решени</w:t>
      </w:r>
      <w:r>
        <w:rPr>
          <w:rFonts w:ascii="Arial" w:eastAsia="MS Mincho" w:hAnsi="Arial"/>
          <w:b w:val="0"/>
        </w:rPr>
        <w:t>е</w:t>
      </w:r>
      <w:r w:rsidRPr="00C94339">
        <w:rPr>
          <w:rFonts w:ascii="Arial" w:eastAsia="MS Mincho" w:hAnsi="Arial"/>
          <w:b w:val="0"/>
        </w:rPr>
        <w:t xml:space="preserve"> о закупке картриджей </w:t>
      </w:r>
      <w:proofErr w:type="spellStart"/>
      <w:r w:rsidRPr="00C94339">
        <w:rPr>
          <w:rFonts w:ascii="Arial" w:eastAsia="MS Mincho" w:hAnsi="Arial"/>
          <w:b w:val="0"/>
        </w:rPr>
        <w:t>Xpert</w:t>
      </w:r>
      <w:proofErr w:type="spellEnd"/>
      <w:r w:rsidRPr="00C94339">
        <w:rPr>
          <w:rFonts w:ascii="Arial" w:eastAsia="MS Mincho" w:hAnsi="Arial"/>
          <w:b w:val="0"/>
        </w:rPr>
        <w:t xml:space="preserve"> и новых противотуберкулезных препаратов через Глобальный фонд по лекарственным средствам Партнерства «Остановить туберкулез» (GDF).</w:t>
      </w:r>
    </w:p>
    <w:p w:rsidR="00DB43D4" w:rsidRPr="00380859" w:rsidRDefault="00DB43D4" w:rsidP="00DB43D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Министерство здравоохранения и НПТ систематически проводят работу над улучшением модели предоставления медицинской помощи при ТБ и продвижением ориентированных на пациента подходов, которые обеспечивают сокращение случаев ненужной госпитализации. Начиная с 2013 года, когда началась реализация программы по оптимизации туберкулезных больниц, количество больничных коек для пациентов с активным ТБ сократилось с 11 848 до 6 955 или на 41,2%. Только в 2017 году благодаря оптимизации больниц экономия составила 537,3 млн. тенге (около 1,65 млн. долларов США), которые были направлены на удовлетворение других потребностей программы по борьбе с ТБ, такие как меры по борьбе с инфекцией, приобретение лабораторных расходных материалов, обучение персонала, проведение мониторинга и оценки, а также АКСМ.</w:t>
      </w:r>
    </w:p>
    <w:p w:rsidR="00421750" w:rsidRPr="00380859" w:rsidRDefault="00421750" w:rsidP="0042175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Эффективные стратегии борьбы с ТБ, включая усиленную поддержку пациентов и последующее врачебное наблюдение, позволили существенно улучшить результаты лечения пациентов: успех лечения новых случаев и рецидивов в когорте 2016 года составил 88%, а случаев РУ/МЛУ-ТБ в когорте 2015 года - 78%. В то же время особую озабоченность вызывают низкие результаты лечения случаев ШЛУ-ТБ (всего лишь 32% успех лечения в когорте 2015 года), а также необходимость во внедрении современных, более эффективных стратегий лечения и подходов и предотвращении дальнейшего повышения устойчивости к лекарственным препаратам.</w:t>
      </w:r>
    </w:p>
    <w:p w:rsidR="00421750" w:rsidRPr="00380859" w:rsidRDefault="00421750" w:rsidP="0042175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 w:rsidRPr="00421750">
        <w:rPr>
          <w:rFonts w:ascii="Arial" w:hAnsi="Arial"/>
          <w:b w:val="0"/>
        </w:rPr>
        <w:t>Во всех регионах страны местные (областные) администрации оказывают поддержку приверженности больным туберкулезом (</w:t>
      </w:r>
      <w:r>
        <w:rPr>
          <w:rFonts w:ascii="Arial" w:hAnsi="Arial"/>
          <w:b w:val="0"/>
        </w:rPr>
        <w:t xml:space="preserve">через </w:t>
      </w:r>
      <w:r w:rsidRPr="00421750">
        <w:rPr>
          <w:rFonts w:ascii="Arial" w:hAnsi="Arial"/>
          <w:b w:val="0"/>
        </w:rPr>
        <w:t xml:space="preserve">денежные стимулы) </w:t>
      </w:r>
      <w:r>
        <w:rPr>
          <w:rFonts w:ascii="Arial" w:hAnsi="Arial"/>
          <w:b w:val="0"/>
        </w:rPr>
        <w:t>в возрастающем</w:t>
      </w:r>
      <w:r w:rsidRPr="00421750">
        <w:rPr>
          <w:rFonts w:ascii="Arial" w:hAnsi="Arial"/>
          <w:b w:val="0"/>
        </w:rPr>
        <w:t xml:space="preserve"> масштабе.</w:t>
      </w:r>
      <w:r>
        <w:rPr>
          <w:rFonts w:ascii="Arial" w:hAnsi="Arial"/>
          <w:b w:val="0"/>
        </w:rPr>
        <w:t xml:space="preserve"> Если в 2013 году средства, выделенные на поддержку пациентов, составили 1,1% от консолидированного бюджета программы по борьбе с ТБ, то в 2017 году эта доля увеличилась до 3,5%, а за 6 месяцев 2018 года - до 4,5%. В первой половине 2018 года сумма, выделенная на поддержку пациентов, составила 771,7 млн. тенге (около 2,36 млн. долларов США), что на 35,8% больше по сравнению с аналогичным периодом 2017 года. </w:t>
      </w:r>
    </w:p>
    <w:p w:rsidR="00042A2D" w:rsidRPr="00380859" w:rsidRDefault="00042A2D" w:rsidP="008512A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Полное амбулаторное лечение случаев ЛУ-ТБ успешно реализуется при поддержке проекта ГФ в четырех демонстрационных регионах: в течение 9 месяцев 2018 года 54,5% пациентов с ЛУ-ТБ получали лечение в амбулаторных условиях по сравнению с 19,9% в 2017 году.</w:t>
      </w:r>
      <w:r w:rsidR="008512A7">
        <w:rPr>
          <w:rFonts w:ascii="Arial" w:hAnsi="Arial"/>
          <w:b w:val="0"/>
        </w:rPr>
        <w:t xml:space="preserve"> </w:t>
      </w:r>
      <w:r w:rsidR="008512A7" w:rsidRPr="008512A7">
        <w:rPr>
          <w:rFonts w:ascii="Arial" w:hAnsi="Arial"/>
          <w:b w:val="0"/>
        </w:rPr>
        <w:t xml:space="preserve">Поддержка приверженности включает предоставление ежемесячных денежных стимулов, возмещение затрат на транспортировку пациентов (вспомогательные средства), мобильные группы поддержки пациентов в городах, в которые входят медсестры и психологи, а также медсестры </w:t>
      </w:r>
      <w:r w:rsidR="008512A7">
        <w:rPr>
          <w:rFonts w:ascii="Arial" w:hAnsi="Arial"/>
          <w:b w:val="0"/>
        </w:rPr>
        <w:t>НКЛ</w:t>
      </w:r>
      <w:r w:rsidR="008512A7" w:rsidRPr="008512A7">
        <w:rPr>
          <w:rFonts w:ascii="Arial" w:hAnsi="Arial"/>
          <w:b w:val="0"/>
        </w:rPr>
        <w:t xml:space="preserve"> в сельских районах, которые проводят визиты на дому к пациентам с более высоким риском прерывания лечения из-за медицински</w:t>
      </w:r>
      <w:r w:rsidR="008512A7">
        <w:rPr>
          <w:rFonts w:ascii="Arial" w:hAnsi="Arial"/>
          <w:b w:val="0"/>
        </w:rPr>
        <w:t>х</w:t>
      </w:r>
      <w:r w:rsidR="008512A7" w:rsidRPr="008512A7">
        <w:rPr>
          <w:rFonts w:ascii="Arial" w:hAnsi="Arial"/>
          <w:b w:val="0"/>
        </w:rPr>
        <w:t xml:space="preserve"> или социальны</w:t>
      </w:r>
      <w:r w:rsidR="008512A7">
        <w:rPr>
          <w:rFonts w:ascii="Arial" w:hAnsi="Arial"/>
          <w:b w:val="0"/>
        </w:rPr>
        <w:t>х</w:t>
      </w:r>
      <w:r w:rsidR="008512A7" w:rsidRPr="008512A7">
        <w:rPr>
          <w:rFonts w:ascii="Arial" w:hAnsi="Arial"/>
          <w:b w:val="0"/>
        </w:rPr>
        <w:t xml:space="preserve"> причин. Начиная с 4-го квартала 2008 года, в этих пилотных районах проводится </w:t>
      </w:r>
      <w:r w:rsidR="008512A7">
        <w:rPr>
          <w:rFonts w:ascii="Arial" w:hAnsi="Arial"/>
          <w:b w:val="0"/>
        </w:rPr>
        <w:t xml:space="preserve">внедрение </w:t>
      </w:r>
      <w:r w:rsidR="008512A7" w:rsidRPr="008512A7">
        <w:rPr>
          <w:rFonts w:ascii="Arial" w:hAnsi="Arial"/>
          <w:b w:val="0"/>
        </w:rPr>
        <w:t>видео</w:t>
      </w:r>
      <w:r w:rsidR="008512A7">
        <w:rPr>
          <w:rFonts w:ascii="Arial" w:hAnsi="Arial"/>
          <w:b w:val="0"/>
        </w:rPr>
        <w:t>-</w:t>
      </w:r>
      <w:r w:rsidR="00DA6452" w:rsidRPr="008512A7">
        <w:rPr>
          <w:rFonts w:ascii="Arial" w:hAnsi="Arial"/>
          <w:b w:val="0"/>
        </w:rPr>
        <w:t>наблюд</w:t>
      </w:r>
      <w:r w:rsidR="00DA6452">
        <w:rPr>
          <w:rFonts w:ascii="Arial" w:hAnsi="Arial"/>
          <w:b w:val="0"/>
        </w:rPr>
        <w:t xml:space="preserve">аемого </w:t>
      </w:r>
      <w:r w:rsidR="00DA6452" w:rsidRPr="008512A7">
        <w:rPr>
          <w:rFonts w:ascii="Arial" w:hAnsi="Arial"/>
          <w:b w:val="0"/>
        </w:rPr>
        <w:t>лечения</w:t>
      </w:r>
      <w:r w:rsidR="008512A7">
        <w:rPr>
          <w:rFonts w:ascii="Arial" w:hAnsi="Arial"/>
          <w:b w:val="0"/>
        </w:rPr>
        <w:t xml:space="preserve"> </w:t>
      </w:r>
      <w:r w:rsidR="008512A7" w:rsidRPr="008512A7">
        <w:rPr>
          <w:rFonts w:ascii="Arial" w:hAnsi="Arial"/>
          <w:b w:val="0"/>
        </w:rPr>
        <w:t>(</w:t>
      </w:r>
      <w:r w:rsidR="008512A7">
        <w:rPr>
          <w:rFonts w:ascii="Arial" w:hAnsi="Arial"/>
          <w:b w:val="0"/>
        </w:rPr>
        <w:t>ВНЛ</w:t>
      </w:r>
      <w:r w:rsidR="008512A7" w:rsidRPr="008512A7">
        <w:rPr>
          <w:rFonts w:ascii="Arial" w:hAnsi="Arial"/>
          <w:b w:val="0"/>
        </w:rPr>
        <w:t xml:space="preserve">); к концу года </w:t>
      </w:r>
      <w:r w:rsidR="008512A7">
        <w:rPr>
          <w:rFonts w:ascii="Arial" w:hAnsi="Arial"/>
          <w:b w:val="0"/>
        </w:rPr>
        <w:t>на данном типе лечения находились</w:t>
      </w:r>
      <w:r w:rsidR="008512A7" w:rsidRPr="008512A7">
        <w:rPr>
          <w:rFonts w:ascii="Arial" w:hAnsi="Arial"/>
          <w:b w:val="0"/>
        </w:rPr>
        <w:t xml:space="preserve"> 104 пациента.</w:t>
      </w:r>
    </w:p>
    <w:p w:rsidR="00FC7FF2" w:rsidRPr="00380859" w:rsidRDefault="00FC7FF2" w:rsidP="00FC7FF2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lastRenderedPageBreak/>
        <w:t xml:space="preserve">По всей стране было начато внедрение использования новых противотуберкулезных препаратов и коротких схем лечения МЛУ-ТБ при поддержке Проекта </w:t>
      </w:r>
      <w:proofErr w:type="spellStart"/>
      <w:r>
        <w:rPr>
          <w:rFonts w:ascii="Arial" w:hAnsi="Arial"/>
          <w:b w:val="0"/>
        </w:rPr>
        <w:t>endTB</w:t>
      </w:r>
      <w:proofErr w:type="spellEnd"/>
      <w:r>
        <w:rPr>
          <w:rFonts w:ascii="Arial" w:hAnsi="Arial"/>
          <w:b w:val="0"/>
        </w:rPr>
        <w:t xml:space="preserve"> / Проекта Партнеров в во имя здоровья и Глобального фонда. В настоящее время НПТ планирует переход к модифицированным, более длительным и более коротким схемам лечения в соответствии с новыми руководящими принципами ВОЗ по лечению лекарственно-устойчивых форм ТБ.</w:t>
      </w:r>
    </w:p>
    <w:p w:rsidR="003F2160" w:rsidRPr="00380859" w:rsidRDefault="003F2160" w:rsidP="00FC7FF2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 xml:space="preserve">В стране </w:t>
      </w:r>
      <w:r w:rsidR="009105E3">
        <w:rPr>
          <w:rFonts w:ascii="Arial" w:hAnsi="Arial"/>
          <w:b w:val="0"/>
        </w:rPr>
        <w:t>прогрессирующе</w:t>
      </w:r>
      <w:r>
        <w:rPr>
          <w:rFonts w:ascii="Arial" w:hAnsi="Arial"/>
          <w:b w:val="0"/>
        </w:rPr>
        <w:t xml:space="preserve"> внедряется технология </w:t>
      </w:r>
      <w:proofErr w:type="spellStart"/>
      <w:r>
        <w:rPr>
          <w:rFonts w:ascii="Arial" w:hAnsi="Arial"/>
          <w:b w:val="0"/>
        </w:rPr>
        <w:t>Xpert</w:t>
      </w:r>
      <w:proofErr w:type="spellEnd"/>
      <w:r>
        <w:rPr>
          <w:rFonts w:ascii="Arial" w:hAnsi="Arial"/>
          <w:b w:val="0"/>
        </w:rPr>
        <w:t xml:space="preserve"> MTB/RIF для диагностики микобактерии туберкулеза/устойчивости к </w:t>
      </w:r>
      <w:proofErr w:type="spellStart"/>
      <w:r>
        <w:rPr>
          <w:rFonts w:ascii="Arial" w:hAnsi="Arial"/>
          <w:b w:val="0"/>
        </w:rPr>
        <w:t>рифампицину</w:t>
      </w:r>
      <w:proofErr w:type="spellEnd"/>
      <w:r>
        <w:rPr>
          <w:rFonts w:ascii="Arial" w:hAnsi="Arial"/>
          <w:b w:val="0"/>
        </w:rPr>
        <w:t>, включая ее успешное внедрение на периферийном (районном) уровне предоставления услуг. В трех пилотных/демонстрационных регионах, которые получают текущую поддержку за счет гранта Глобального фонда (</w:t>
      </w:r>
      <w:proofErr w:type="spellStart"/>
      <w:r>
        <w:rPr>
          <w:rFonts w:ascii="Arial" w:hAnsi="Arial"/>
          <w:b w:val="0"/>
        </w:rPr>
        <w:t>Акмолинская</w:t>
      </w:r>
      <w:proofErr w:type="spellEnd"/>
      <w:r>
        <w:rPr>
          <w:rFonts w:ascii="Arial" w:hAnsi="Arial"/>
          <w:b w:val="0"/>
        </w:rPr>
        <w:t xml:space="preserve">, Актюбинская и Восточно-Казахстанская области), внедрение тестирования с помощью технологии </w:t>
      </w:r>
      <w:proofErr w:type="spellStart"/>
      <w:r>
        <w:rPr>
          <w:rFonts w:ascii="Arial" w:hAnsi="Arial"/>
          <w:b w:val="0"/>
        </w:rPr>
        <w:t>Xpert</w:t>
      </w:r>
      <w:proofErr w:type="spellEnd"/>
      <w:r>
        <w:rPr>
          <w:rFonts w:ascii="Arial" w:hAnsi="Arial"/>
          <w:b w:val="0"/>
        </w:rPr>
        <w:t xml:space="preserve"> на районном уровне позволило увеличить количество исследований в течение первых 9 месяцев 2018 года на 140% (т.е. в 2,4 раза) по сравнению с 2017 годом, </w:t>
      </w:r>
      <w:r w:rsidR="00FC7FF2">
        <w:rPr>
          <w:rFonts w:ascii="Arial" w:hAnsi="Arial"/>
          <w:b w:val="0"/>
        </w:rPr>
        <w:t>с</w:t>
      </w:r>
      <w:r>
        <w:rPr>
          <w:rFonts w:ascii="Arial" w:hAnsi="Arial"/>
          <w:b w:val="0"/>
        </w:rPr>
        <w:t xml:space="preserve"> </w:t>
      </w:r>
      <w:r w:rsidR="00FC7FF2">
        <w:rPr>
          <w:rFonts w:ascii="Arial" w:hAnsi="Arial"/>
          <w:b w:val="0"/>
        </w:rPr>
        <w:t xml:space="preserve">высоким уровнем </w:t>
      </w:r>
      <w:r w:rsidR="00AC1BDD">
        <w:rPr>
          <w:rFonts w:ascii="Arial" w:hAnsi="Arial"/>
          <w:b w:val="0"/>
        </w:rPr>
        <w:t>покрытия</w:t>
      </w:r>
      <w:r>
        <w:rPr>
          <w:rFonts w:ascii="Arial" w:hAnsi="Arial"/>
          <w:b w:val="0"/>
        </w:rPr>
        <w:t xml:space="preserve"> потребностей и увеличение</w:t>
      </w:r>
      <w:r w:rsidR="00FC7FF2">
        <w:rPr>
          <w:rFonts w:ascii="Arial" w:hAnsi="Arial"/>
          <w:b w:val="0"/>
        </w:rPr>
        <w:t>м</w:t>
      </w:r>
      <w:r>
        <w:rPr>
          <w:rFonts w:ascii="Arial" w:hAnsi="Arial"/>
          <w:b w:val="0"/>
        </w:rPr>
        <w:t xml:space="preserve"> своевременного выявления случаев РУ-ТБ. </w:t>
      </w:r>
      <w:r w:rsidR="00FC7FF2">
        <w:rPr>
          <w:rFonts w:ascii="Arial" w:hAnsi="Arial"/>
          <w:b w:val="0"/>
        </w:rPr>
        <w:t>Индикатором</w:t>
      </w:r>
      <w:r w:rsidR="00FC7FF2" w:rsidRPr="00FC7FF2">
        <w:rPr>
          <w:rFonts w:ascii="Arial" w:hAnsi="Arial"/>
          <w:b w:val="0"/>
        </w:rPr>
        <w:t xml:space="preserve"> правильной интенсивности выявления случаев, показатель </w:t>
      </w:r>
      <w:r w:rsidR="00FC7FF2">
        <w:rPr>
          <w:rFonts w:ascii="Arial" w:hAnsi="Arial"/>
          <w:b w:val="0"/>
        </w:rPr>
        <w:t xml:space="preserve">положительных результатов выявления </w:t>
      </w:r>
      <w:r w:rsidR="00FC7FF2" w:rsidRPr="00FC7FF2">
        <w:rPr>
          <w:rFonts w:ascii="Arial" w:hAnsi="Arial"/>
          <w:b w:val="0"/>
        </w:rPr>
        <w:t xml:space="preserve">MTB в пилотных </w:t>
      </w:r>
      <w:r w:rsidR="00FC7FF2">
        <w:rPr>
          <w:rFonts w:ascii="Arial" w:hAnsi="Arial"/>
          <w:b w:val="0"/>
        </w:rPr>
        <w:t>территориях</w:t>
      </w:r>
      <w:r w:rsidR="00FC7FF2" w:rsidRPr="00FC7FF2">
        <w:rPr>
          <w:rFonts w:ascii="Arial" w:hAnsi="Arial"/>
          <w:b w:val="0"/>
        </w:rPr>
        <w:t xml:space="preserve"> составляет около 10%, доля случаев </w:t>
      </w:r>
      <w:r w:rsidR="00FC7FF2">
        <w:rPr>
          <w:rFonts w:ascii="Arial" w:hAnsi="Arial"/>
          <w:b w:val="0"/>
        </w:rPr>
        <w:t>с РУ</w:t>
      </w:r>
      <w:r w:rsidR="00FC7FF2" w:rsidRPr="00FC7FF2">
        <w:rPr>
          <w:rFonts w:ascii="Arial" w:hAnsi="Arial"/>
          <w:b w:val="0"/>
        </w:rPr>
        <w:t xml:space="preserve"> составила 40,8%, а частота ошибок составляет всего 2,5%. </w:t>
      </w:r>
      <w:r w:rsidR="00FC7FF2">
        <w:rPr>
          <w:rFonts w:ascii="Arial" w:hAnsi="Arial"/>
          <w:b w:val="0"/>
        </w:rPr>
        <w:t>НТП</w:t>
      </w:r>
      <w:r w:rsidR="00FC7FF2" w:rsidRPr="00FC7FF2">
        <w:rPr>
          <w:rFonts w:ascii="Arial" w:hAnsi="Arial"/>
          <w:b w:val="0"/>
        </w:rPr>
        <w:t xml:space="preserve"> будет использовать уроки, извлеченные </w:t>
      </w:r>
      <w:r w:rsidR="00FC7FF2">
        <w:rPr>
          <w:rFonts w:ascii="Arial" w:hAnsi="Arial"/>
          <w:b w:val="0"/>
        </w:rPr>
        <w:t xml:space="preserve">при внедрение проекта при </w:t>
      </w:r>
      <w:r w:rsidR="00FC7FF2" w:rsidRPr="00FC7FF2">
        <w:rPr>
          <w:rFonts w:ascii="Arial" w:hAnsi="Arial"/>
          <w:b w:val="0"/>
        </w:rPr>
        <w:t xml:space="preserve">развертывании </w:t>
      </w:r>
      <w:proofErr w:type="spellStart"/>
      <w:r w:rsidR="00FC7FF2" w:rsidRPr="00FC7FF2">
        <w:rPr>
          <w:rFonts w:ascii="Arial" w:hAnsi="Arial"/>
          <w:b w:val="0"/>
        </w:rPr>
        <w:t>Xpert</w:t>
      </w:r>
      <w:proofErr w:type="spellEnd"/>
      <w:r w:rsidR="00FC7FF2" w:rsidRPr="00FC7FF2">
        <w:rPr>
          <w:rFonts w:ascii="Arial" w:hAnsi="Arial"/>
          <w:b w:val="0"/>
        </w:rPr>
        <w:t xml:space="preserve"> MTB / RIF на районном уровне по всей стране.</w:t>
      </w:r>
      <w:r w:rsidR="00FC7FF2">
        <w:rPr>
          <w:rFonts w:ascii="Arial" w:hAnsi="Arial"/>
          <w:b w:val="0"/>
        </w:rPr>
        <w:t xml:space="preserve"> </w:t>
      </w:r>
    </w:p>
    <w:p w:rsidR="00737324" w:rsidRPr="00C67C49" w:rsidRDefault="00737324" w:rsidP="0073732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 w:rsidRPr="00C67C49">
        <w:rPr>
          <w:rFonts w:ascii="Arial" w:hAnsi="Arial"/>
          <w:b w:val="0"/>
        </w:rPr>
        <w:t xml:space="preserve">Проект Глобального фонда способствовал созданию и развитию Национальной платформы Партнерства «Стоп ТБ» для гражданского общества и других негосударственных субъектов в области профилактики и лечения ТБ, а также оказал поддержку в привлечении НПО в рамках программы выделения небольших </w:t>
      </w:r>
      <w:r w:rsidRPr="00A223B7">
        <w:rPr>
          <w:rFonts w:ascii="Arial" w:hAnsi="Arial"/>
          <w:b w:val="0"/>
        </w:rPr>
        <w:t xml:space="preserve">грантов. Девять НПО в настоящее время </w:t>
      </w:r>
      <w:r>
        <w:rPr>
          <w:rFonts w:ascii="Arial" w:hAnsi="Arial"/>
          <w:b w:val="0"/>
        </w:rPr>
        <w:t xml:space="preserve">задействованы в проведение </w:t>
      </w:r>
      <w:r w:rsidRPr="00C67C49">
        <w:rPr>
          <w:rFonts w:ascii="Arial" w:hAnsi="Arial"/>
          <w:b w:val="0"/>
        </w:rPr>
        <w:t>мероприяти</w:t>
      </w:r>
      <w:r>
        <w:rPr>
          <w:rFonts w:ascii="Arial" w:hAnsi="Arial"/>
          <w:b w:val="0"/>
        </w:rPr>
        <w:t xml:space="preserve">й </w:t>
      </w:r>
      <w:r w:rsidRPr="00C67C49">
        <w:rPr>
          <w:rFonts w:ascii="Arial" w:hAnsi="Arial"/>
          <w:b w:val="0"/>
        </w:rPr>
        <w:t>(7 НПО с опытом работы в сфере ВИЧ и 2 организации, созданные людьми, затронутыми туберкулезом). В целом, в общей сложности 4</w:t>
      </w:r>
      <w:r>
        <w:rPr>
          <w:rFonts w:ascii="Arial" w:hAnsi="Arial"/>
          <w:b w:val="0"/>
        </w:rPr>
        <w:t>,</w:t>
      </w:r>
      <w:r w:rsidRPr="00C67C49">
        <w:rPr>
          <w:rFonts w:ascii="Arial" w:hAnsi="Arial"/>
          <w:b w:val="0"/>
        </w:rPr>
        <w:t xml:space="preserve">173 человека с предполагаемым туберкулезом из групп риска были направлены НПО для обследования на туберкулез в </w:t>
      </w:r>
      <w:r>
        <w:rPr>
          <w:rFonts w:ascii="Arial" w:hAnsi="Arial"/>
          <w:b w:val="0"/>
        </w:rPr>
        <w:t>учреждения</w:t>
      </w:r>
      <w:r w:rsidRPr="00C67C49">
        <w:rPr>
          <w:rFonts w:ascii="Arial" w:hAnsi="Arial"/>
          <w:b w:val="0"/>
        </w:rPr>
        <w:t xml:space="preserve"> ПМСП; из них 1</w:t>
      </w:r>
      <w:r>
        <w:rPr>
          <w:rFonts w:ascii="Arial" w:hAnsi="Arial"/>
          <w:b w:val="0"/>
        </w:rPr>
        <w:t>,</w:t>
      </w:r>
      <w:r w:rsidRPr="00C67C49">
        <w:rPr>
          <w:rFonts w:ascii="Arial" w:hAnsi="Arial"/>
          <w:b w:val="0"/>
        </w:rPr>
        <w:t xml:space="preserve">509 человек (36%) были обследованы на туберкулез в соответствии с национальным алгоритмом, а 333 (8%) были диагностированы с активным </w:t>
      </w:r>
      <w:r>
        <w:rPr>
          <w:rFonts w:ascii="Arial" w:hAnsi="Arial"/>
          <w:b w:val="0"/>
        </w:rPr>
        <w:t>т</w:t>
      </w:r>
      <w:r w:rsidRPr="00C67C49">
        <w:rPr>
          <w:rFonts w:ascii="Arial" w:hAnsi="Arial"/>
          <w:b w:val="0"/>
        </w:rPr>
        <w:t>уберкулезом. НПО отсле</w:t>
      </w:r>
      <w:r>
        <w:rPr>
          <w:rFonts w:ascii="Arial" w:hAnsi="Arial"/>
          <w:b w:val="0"/>
        </w:rPr>
        <w:t>дили</w:t>
      </w:r>
      <w:r w:rsidRPr="00C67C49">
        <w:rPr>
          <w:rFonts w:ascii="Arial" w:hAnsi="Arial"/>
          <w:b w:val="0"/>
        </w:rPr>
        <w:t xml:space="preserve"> и </w:t>
      </w:r>
      <w:r>
        <w:rPr>
          <w:rFonts w:ascii="Arial" w:hAnsi="Arial"/>
          <w:b w:val="0"/>
        </w:rPr>
        <w:t>направили на обследование</w:t>
      </w:r>
      <w:r w:rsidRPr="00C67C49">
        <w:rPr>
          <w:rFonts w:ascii="Arial" w:hAnsi="Arial"/>
          <w:b w:val="0"/>
        </w:rPr>
        <w:t xml:space="preserve"> 360 контактов пациентов с туберкулезом; интенсивная поддержка приверженности и последующее наблюдение были предоставлены 1</w:t>
      </w:r>
      <w:r>
        <w:rPr>
          <w:rFonts w:ascii="Arial" w:hAnsi="Arial"/>
          <w:b w:val="0"/>
        </w:rPr>
        <w:t>,</w:t>
      </w:r>
      <w:r w:rsidRPr="00C67C49">
        <w:rPr>
          <w:rFonts w:ascii="Arial" w:hAnsi="Arial"/>
          <w:b w:val="0"/>
        </w:rPr>
        <w:t xml:space="preserve">704 больным туберкулезом с повышенным риском </w:t>
      </w:r>
      <w:r>
        <w:rPr>
          <w:rFonts w:ascii="Arial" w:hAnsi="Arial"/>
          <w:b w:val="0"/>
        </w:rPr>
        <w:t xml:space="preserve">отрыва от </w:t>
      </w:r>
      <w:r w:rsidRPr="00C67C49">
        <w:rPr>
          <w:rFonts w:ascii="Arial" w:hAnsi="Arial"/>
          <w:b w:val="0"/>
        </w:rPr>
        <w:t>лечения, а 1</w:t>
      </w:r>
      <w:r>
        <w:rPr>
          <w:rFonts w:ascii="Arial" w:hAnsi="Arial"/>
          <w:b w:val="0"/>
        </w:rPr>
        <w:t>,</w:t>
      </w:r>
      <w:r w:rsidRPr="00C67C49">
        <w:rPr>
          <w:rFonts w:ascii="Arial" w:hAnsi="Arial"/>
          <w:b w:val="0"/>
        </w:rPr>
        <w:t>483 человека, прервавши</w:t>
      </w:r>
      <w:r>
        <w:rPr>
          <w:rFonts w:ascii="Arial" w:hAnsi="Arial"/>
          <w:b w:val="0"/>
        </w:rPr>
        <w:t>х</w:t>
      </w:r>
      <w:r w:rsidRPr="00C67C49">
        <w:rPr>
          <w:rFonts w:ascii="Arial" w:hAnsi="Arial"/>
          <w:b w:val="0"/>
        </w:rPr>
        <w:t xml:space="preserve"> терапию, были возвращены </w:t>
      </w:r>
      <w:r>
        <w:rPr>
          <w:rFonts w:ascii="Arial" w:hAnsi="Arial"/>
          <w:b w:val="0"/>
        </w:rPr>
        <w:t>на</w:t>
      </w:r>
      <w:r w:rsidRPr="00C67C49">
        <w:rPr>
          <w:rFonts w:ascii="Arial" w:hAnsi="Arial"/>
          <w:b w:val="0"/>
        </w:rPr>
        <w:t xml:space="preserve"> лечени</w:t>
      </w:r>
      <w:r>
        <w:rPr>
          <w:rFonts w:ascii="Arial" w:hAnsi="Arial"/>
          <w:b w:val="0"/>
        </w:rPr>
        <w:t>е</w:t>
      </w:r>
      <w:r w:rsidRPr="00C67C49">
        <w:rPr>
          <w:rFonts w:ascii="Arial" w:hAnsi="Arial"/>
          <w:b w:val="0"/>
        </w:rPr>
        <w:t xml:space="preserve"> под наблюдение и поддержк</w:t>
      </w:r>
      <w:r>
        <w:rPr>
          <w:rFonts w:ascii="Arial" w:hAnsi="Arial"/>
          <w:b w:val="0"/>
        </w:rPr>
        <w:t>у</w:t>
      </w:r>
      <w:r w:rsidRPr="00C67C49">
        <w:rPr>
          <w:rFonts w:ascii="Arial" w:hAnsi="Arial"/>
          <w:b w:val="0"/>
        </w:rPr>
        <w:t xml:space="preserve"> НПО для его завершения.</w:t>
      </w:r>
      <w:r>
        <w:rPr>
          <w:rFonts w:ascii="Arial" w:hAnsi="Arial"/>
          <w:b w:val="0"/>
        </w:rPr>
        <w:t xml:space="preserve"> </w:t>
      </w:r>
      <w:r w:rsidRPr="00C67C49">
        <w:rPr>
          <w:rFonts w:ascii="Arial" w:hAnsi="Arial"/>
          <w:b w:val="0"/>
        </w:rPr>
        <w:t>Высокий спрос со стороны получателей и хорошие результаты на раннем этапе реализации способствовали расширению охвата и масштабов проектов НПО. Также</w:t>
      </w:r>
      <w:r>
        <w:rPr>
          <w:rFonts w:ascii="Arial" w:hAnsi="Arial"/>
          <w:b w:val="0"/>
        </w:rPr>
        <w:t xml:space="preserve"> п</w:t>
      </w:r>
      <w:r w:rsidRPr="00C67C49">
        <w:rPr>
          <w:rFonts w:ascii="Arial" w:hAnsi="Arial"/>
          <w:b w:val="0"/>
        </w:rPr>
        <w:t>ланируется</w:t>
      </w:r>
      <w:r>
        <w:rPr>
          <w:rFonts w:ascii="Arial" w:hAnsi="Arial"/>
          <w:b w:val="0"/>
        </w:rPr>
        <w:t xml:space="preserve">, </w:t>
      </w:r>
      <w:r w:rsidRPr="00C67C49">
        <w:rPr>
          <w:rFonts w:ascii="Arial" w:hAnsi="Arial"/>
          <w:b w:val="0"/>
        </w:rPr>
        <w:t>что местные органы власти увеличат свою долю в совместном финансировании и в скором времени примут эстафету у ГФ путем применения соответствующих механизмов заключения социальных контрактов.</w:t>
      </w:r>
    </w:p>
    <w:p w:rsidR="003F2160" w:rsidRPr="00380859" w:rsidRDefault="003F2160" w:rsidP="003F2160">
      <w:pPr>
        <w:spacing w:before="120" w:after="120" w:line="240" w:lineRule="auto"/>
        <w:jc w:val="center"/>
        <w:rPr>
          <w:rFonts w:ascii="Arial" w:eastAsia="MS Mincho" w:hAnsi="Arial"/>
          <w:b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</w:p>
    <w:p w:rsidR="003F2160" w:rsidRPr="009527D4" w:rsidRDefault="003F2160" w:rsidP="003F2160">
      <w:pPr>
        <w:spacing w:before="120"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Существует ряд причин для внесения программных изменений, которые лежат в основе данного запроса на финансирование (т. е. подача заявки через канал «С учетом существенных изменений»). Эти причины связаны с изменениями в эпидемиологическом контексте и контексте системы здравоохранения страны, источниках финансирования, международной политике и рекомендациях, а также с другими факторами, включая:</w:t>
      </w:r>
    </w:p>
    <w:p w:rsidR="003F2160" w:rsidRPr="009527D4" w:rsidRDefault="003F2160" w:rsidP="003F216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 xml:space="preserve">Усиленная политическая ответственность Правительства Казахстана, которая заключается в приверженности </w:t>
      </w:r>
      <w:r>
        <w:rPr>
          <w:rFonts w:ascii="Arial" w:hAnsi="Arial"/>
          <w:b w:val="0"/>
          <w:i/>
        </w:rPr>
        <w:t>Политической декларации ООН, принятой на заседании Генеральной Ассамблеи высокого уровня касательно борьбы с туберкулезом</w:t>
      </w:r>
      <w:r>
        <w:rPr>
          <w:rFonts w:ascii="Arial" w:hAnsi="Arial"/>
          <w:b w:val="0"/>
        </w:rPr>
        <w:t>;</w:t>
      </w:r>
    </w:p>
    <w:p w:rsidR="003F2160" w:rsidRPr="009527D4" w:rsidRDefault="003F2160" w:rsidP="003F216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lastRenderedPageBreak/>
        <w:t>Развитие эпидемиологической ситуации с ТБ в стране с учетом общих положительных тенденций и уменьшения бремени ТБ, а также возникающих проблем, связанных с обширной лекарственной устойчивостью;</w:t>
      </w:r>
    </w:p>
    <w:p w:rsidR="003F2160" w:rsidRPr="009527D4" w:rsidRDefault="003F2160" w:rsidP="003F216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Важные структурные реформы в системе здравоохранения Казахстана, направленные на обеспечение всеобщего охвата медико-санитарными услугами, включая профилактику и лечение ТБ, путем создания системы единого плательщика</w:t>
      </w:r>
      <w:r w:rsidR="00AD0CAE" w:rsidRPr="00DD7C44">
        <w:rPr>
          <w:rFonts w:ascii="Arial" w:hAnsi="Arial"/>
          <w:b w:val="0"/>
        </w:rPr>
        <w:t xml:space="preserve"> (</w:t>
      </w:r>
      <w:r w:rsidR="00AD0CAE">
        <w:rPr>
          <w:rFonts w:ascii="Arial" w:hAnsi="Arial"/>
          <w:b w:val="0"/>
        </w:rPr>
        <w:t>смотри раздел 4.1)</w:t>
      </w:r>
      <w:r>
        <w:rPr>
          <w:rFonts w:ascii="Arial" w:hAnsi="Arial"/>
          <w:b w:val="0"/>
        </w:rPr>
        <w:t>, оптимизации организации и управления оказанием медицинской помощи</w:t>
      </w:r>
      <w:r w:rsidR="00AD0CAE">
        <w:rPr>
          <w:rFonts w:ascii="Arial" w:hAnsi="Arial"/>
          <w:b w:val="0"/>
        </w:rPr>
        <w:t xml:space="preserve"> (в том числе путем объединения всех противотуберкулезных учреждений в областях в единое юридическое лицо)</w:t>
      </w:r>
      <w:r>
        <w:rPr>
          <w:rFonts w:ascii="Arial" w:hAnsi="Arial"/>
          <w:b w:val="0"/>
        </w:rPr>
        <w:t>, а также содействия повышению эффективности, качества и инноваций;</w:t>
      </w:r>
    </w:p>
    <w:p w:rsidR="003F2160" w:rsidRPr="009527D4" w:rsidRDefault="003F2160" w:rsidP="003F216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Обновленная международная политика и рекомендации по борьбе с ТБ, включая пересмотренные рекомендации ВОЗ по борьбе с ТБ;</w:t>
      </w:r>
    </w:p>
    <w:p w:rsidR="003F2160" w:rsidRPr="009527D4" w:rsidRDefault="003F2160" w:rsidP="003F216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Изменение источников финансирования на борьбу с ТБ в результате увеличения вклада Правительства, принятия на себя контроля и уменьшения внешнего финансирования, включая сокращение средств, выделяемых Глобальным фондом;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eastAsia="MS Mincho" w:hAnsi="Arial"/>
          <w:b/>
        </w:rPr>
      </w:pPr>
      <w:r>
        <w:rPr>
          <w:rFonts w:ascii="Arial" w:hAnsi="Arial"/>
        </w:rPr>
        <w:t>В дополнение к вышеизложенным факторам следует отметить ключевые изменения в программе</w:t>
      </w:r>
      <w:r w:rsidR="00FA6DD3">
        <w:rPr>
          <w:rFonts w:ascii="Arial" w:hAnsi="Arial"/>
        </w:rPr>
        <w:t xml:space="preserve"> ГФ</w:t>
      </w:r>
      <w:r>
        <w:rPr>
          <w:rFonts w:ascii="Arial" w:hAnsi="Arial"/>
        </w:rPr>
        <w:t>, которые оправдывают подачу заявки через канал «С учетом существенных изменений», см. Раздел 2.1 ниже.</w:t>
      </w: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932"/>
      </w:tblGrid>
      <w:tr w:rsidR="003F2160" w:rsidRPr="00FA6DD3" w:rsidTr="00DC3DD1">
        <w:trPr>
          <w:trHeight w:val="332"/>
        </w:trPr>
        <w:tc>
          <w:tcPr>
            <w:tcW w:w="8932" w:type="dxa"/>
            <w:shd w:val="clear" w:color="auto" w:fill="1F497D"/>
          </w:tcPr>
          <w:p w:rsidR="003F2160" w:rsidRPr="00FA6DD3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6DD3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РАЗДЕЛ 2: ЗАПРОС НА ФИНАНСИРОВАНИЕ (в пределах выделенной суммы)</w:t>
            </w:r>
          </w:p>
        </w:tc>
      </w:tr>
      <w:tr w:rsidR="003F2160" w:rsidRPr="0048135A" w:rsidTr="00DC3DD1">
        <w:trPr>
          <w:trHeight w:val="332"/>
        </w:trPr>
        <w:tc>
          <w:tcPr>
            <w:tcW w:w="8932" w:type="dxa"/>
            <w:shd w:val="clear" w:color="auto" w:fill="F2F2F2" w:themeFill="background1" w:themeFillShade="F2"/>
          </w:tcPr>
          <w:p w:rsidR="003F2160" w:rsidRPr="0048135A" w:rsidRDefault="003F2160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этом разделе необходимо описать и обосновать элементы программ, предлагаемые для настоящего запроса на финансирование. 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Приложите </w:t>
            </w:r>
            <w:r w:rsidRPr="00FA6DD3">
              <w:rPr>
                <w:rFonts w:ascii="Arial" w:hAnsi="Arial"/>
                <w:b/>
                <w:bCs/>
                <w:iCs/>
                <w:sz w:val="20"/>
                <w:szCs w:val="20"/>
              </w:rPr>
              <w:t>заполненные Таблицы программных пробелов, Таблицы источников финансирования, Систему показателей эффективности и Бюджет, а также включите ссылки на них.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</w:p>
          <w:p w:rsidR="003F2160" w:rsidRPr="0048135A" w:rsidRDefault="003F2160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При составлении ответа используйте дополнительные руководящие указания, приведенные в 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Инструкциях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</w:tc>
      </w:tr>
    </w:tbl>
    <w:p w:rsidR="003F2160" w:rsidRPr="0048135A" w:rsidRDefault="003F2160" w:rsidP="003F2160">
      <w:pPr>
        <w:spacing w:after="0" w:line="240" w:lineRule="auto"/>
        <w:rPr>
          <w:rFonts w:ascii="Arial" w:eastAsia="SimSun" w:hAnsi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898"/>
      </w:tblGrid>
      <w:tr w:rsidR="003F2160" w:rsidRPr="00FA6DD3" w:rsidTr="00DC3DD1">
        <w:trPr>
          <w:trHeight w:val="560"/>
        </w:trPr>
        <w:tc>
          <w:tcPr>
            <w:tcW w:w="8898" w:type="dxa"/>
            <w:shd w:val="clear" w:color="auto" w:fill="C6D9F1"/>
            <w:vAlign w:val="center"/>
          </w:tcPr>
          <w:p w:rsidR="003F2160" w:rsidRPr="00FA6DD3" w:rsidRDefault="003F2160" w:rsidP="00DC3DD1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FA6DD3">
              <w:rPr>
                <w:rFonts w:ascii="Arial" w:hAnsi="Arial"/>
                <w:b/>
                <w:sz w:val="20"/>
                <w:szCs w:val="20"/>
              </w:rPr>
              <w:t>2.1 Запрос на финансирование</w:t>
            </w:r>
          </w:p>
        </w:tc>
      </w:tr>
      <w:tr w:rsidR="003F2160" w:rsidRPr="0048135A" w:rsidTr="00DC3DD1">
        <w:trPr>
          <w:trHeight w:val="557"/>
        </w:trPr>
        <w:tc>
          <w:tcPr>
            <w:tcW w:w="8898" w:type="dxa"/>
            <w:shd w:val="clear" w:color="auto" w:fill="F2F2F2" w:themeFill="background1" w:themeFillShade="F2"/>
          </w:tcPr>
          <w:p w:rsidR="003F2160" w:rsidRPr="00833796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Опишите запрос на финансирование для программ по заболеваниям, уделяя особое внимание изменениям в существующей программе и принимая во внимание существующие программные пробелы и пробелы в финансировании, которые необходимо устранить, указав каким образом эти изменения в определенных областях программ влияют на объем/масштаб инвестиций Глобального фонда.</w:t>
            </w:r>
          </w:p>
          <w:p w:rsidR="003F2160" w:rsidRPr="00833796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Дополнительно укажите следующее:</w:t>
            </w:r>
          </w:p>
          <w:p w:rsidR="003F2160" w:rsidRPr="00833796" w:rsidRDefault="003F2160" w:rsidP="003F21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Изменения (i) Системы показателей эффективности, таких как воздействие на достижение целей, географический охват или разнообразие/ качество пакетов услуг, (</w:t>
            </w:r>
            <w:proofErr w:type="spellStart"/>
            <w:r>
              <w:rPr>
                <w:rFonts w:ascii="Arial" w:hAnsi="Arial"/>
                <w:b w:val="0"/>
                <w:sz w:val="20"/>
                <w:szCs w:val="20"/>
              </w:rPr>
              <w:t>ii</w:t>
            </w:r>
            <w:proofErr w:type="spellEnd"/>
            <w:r>
              <w:rPr>
                <w:rFonts w:ascii="Arial" w:hAnsi="Arial"/>
                <w:b w:val="0"/>
                <w:sz w:val="20"/>
                <w:szCs w:val="20"/>
              </w:rPr>
              <w:t>) бюджет.</w:t>
            </w:r>
          </w:p>
          <w:p w:rsidR="003F2160" w:rsidRPr="00833796" w:rsidRDefault="003F2160" w:rsidP="00DC3DD1">
            <w:pPr>
              <w:pStyle w:val="ListParagraph"/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  <w:p w:rsidR="003F2160" w:rsidRPr="00833796" w:rsidRDefault="003F2160" w:rsidP="003F21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Каким образом предлагаемый пересмотр обеспечит:</w:t>
            </w:r>
          </w:p>
          <w:p w:rsidR="003F2160" w:rsidRPr="00833796" w:rsidRDefault="003F2160" w:rsidP="003F2160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непрерывное расширение охвата в случаях, когда это целесообразно;</w:t>
            </w:r>
          </w:p>
          <w:p w:rsidR="003F2160" w:rsidRPr="00833796" w:rsidRDefault="003F2160" w:rsidP="003F2160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эффективное и результативное использование инвестиций Глобального фонда;</w:t>
            </w:r>
          </w:p>
          <w:p w:rsidR="003F2160" w:rsidRPr="0048135A" w:rsidRDefault="003F2160" w:rsidP="003F2160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максимальное использование усилий в работе над прекращением эпидемий ВИЧ/СПИД, ТБ и малярии;</w:t>
            </w:r>
          </w:p>
          <w:p w:rsidR="003F2160" w:rsidRPr="0048135A" w:rsidRDefault="003F2160" w:rsidP="00DC3DD1">
            <w:pPr>
              <w:pStyle w:val="ListParagraph"/>
              <w:spacing w:before="120" w:after="120" w:line="240" w:lineRule="auto"/>
              <w:ind w:left="144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  <w:p w:rsidR="003F2160" w:rsidRPr="0048135A" w:rsidRDefault="003F2160" w:rsidP="003F216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Каким образом предлагаемые инвестиции обеспечат более очевидную сосредоточенность на работе над программами по ЖУССЗ и для основных затронутых групп населения.</w:t>
            </w:r>
          </w:p>
          <w:p w:rsidR="003F2160" w:rsidRPr="0048135A" w:rsidRDefault="003F2160" w:rsidP="00DC3DD1">
            <w:pPr>
              <w:spacing w:before="120" w:after="120" w:line="240" w:lineRule="auto"/>
              <w:ind w:left="2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Информация касательно совместных заявок: убедитесь, что в ответе надлежащим образом отражены отдельные программы по заболеваниям в дополнение к межотраслевым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модулям, если это необходимо, а также предполагаемая координация, эффективность и результативность, достигнутые в результате совместной реализации программ.</w:t>
            </w:r>
          </w:p>
          <w:p w:rsidR="003F2160" w:rsidRPr="00585E4F" w:rsidRDefault="003F2160" w:rsidP="00DC3DD1">
            <w:pPr>
              <w:spacing w:before="120" w:after="12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Убедитесь также, что запрос на финансирование соответствует требованиям относительно фокуса заявки</w:t>
            </w:r>
            <w:r w:rsidRPr="00833796">
              <w:rPr>
                <w:rFonts w:ascii="Arial" w:hAnsi="Arial"/>
                <w:bCs/>
                <w:i/>
                <w:sz w:val="20"/>
                <w:szCs w:val="20"/>
                <w:vertAlign w:val="superscript"/>
              </w:rPr>
              <w:footnoteReference w:id="8"/>
            </w:r>
            <w:r>
              <w:rPr>
                <w:rFonts w:ascii="Arial" w:hAnsi="Arial"/>
                <w:sz w:val="20"/>
                <w:szCs w:val="20"/>
              </w:rPr>
              <w:t>, которые указаны в письме о выделении средств</w:t>
            </w:r>
          </w:p>
        </w:tc>
      </w:tr>
    </w:tbl>
    <w:p w:rsidR="003F2160" w:rsidRPr="00FD420E" w:rsidRDefault="003F2160" w:rsidP="003F2160">
      <w:pPr>
        <w:spacing w:after="120" w:line="240" w:lineRule="auto"/>
        <w:jc w:val="both"/>
        <w:rPr>
          <w:rFonts w:ascii="Arial" w:hAnsi="Arial"/>
          <w:b/>
          <w:color w:val="FF0000"/>
          <w:sz w:val="8"/>
          <w:szCs w:val="8"/>
        </w:rPr>
      </w:pP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В декабре 2016 года Казахстан получил предложение Глобального фонда касательно подачи заявки на финансирование для борьбы с ТБ на 2017</w:t>
      </w:r>
      <w:r w:rsidR="00FC7F19">
        <w:rPr>
          <w:rFonts w:ascii="Arial" w:hAnsi="Arial"/>
        </w:rPr>
        <w:t>-</w:t>
      </w:r>
      <w:r>
        <w:rPr>
          <w:rFonts w:ascii="Arial" w:hAnsi="Arial"/>
        </w:rPr>
        <w:t>2019 годы. Учитывая тот факт, что реализация текущего гранта на борьбу с ТБ была отложена (дата начала: 1 января 2017 г.), Страновая группа и Страновой координационный комитет (СКК) договорились о том, что страна представит заявку в 1 квартале 2019 года через канал «С учетом существенных изменений».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Заявка была разработана на основе прозрачного и инклюзивного процесса с участием национальных заинтересованных сторон и международных партнеров, работающих в области борьбы с ТБ. В заявке отражены приоритеты, изложенные в ключевых национальных стратегиях, включая Национальный стратегический план по борьбе с ТБ на 2014–2020 гг., а также в международных политиках и рекомендациях по борьбе с ТБ (в частности, в новых рекомендациях ВОЗ по </w:t>
      </w:r>
      <w:r w:rsidR="00FC7F19">
        <w:rPr>
          <w:rFonts w:ascii="Arial" w:hAnsi="Arial"/>
        </w:rPr>
        <w:t xml:space="preserve">лечению </w:t>
      </w:r>
      <w:r>
        <w:rPr>
          <w:rFonts w:ascii="Arial" w:hAnsi="Arial"/>
        </w:rPr>
        <w:t xml:space="preserve">ЛУ-ТБ). В заявке учтены </w:t>
      </w:r>
      <w:r w:rsidR="00FC7F19">
        <w:rPr>
          <w:rFonts w:ascii="Arial" w:hAnsi="Arial"/>
        </w:rPr>
        <w:t>знания и опыт</w:t>
      </w:r>
      <w:r>
        <w:rPr>
          <w:rFonts w:ascii="Arial" w:hAnsi="Arial"/>
        </w:rPr>
        <w:t>, полученные в ходе реализации текущего гранта, выделенного</w:t>
      </w:r>
      <w:r w:rsidR="00FA6DD3">
        <w:rPr>
          <w:rFonts w:ascii="Arial" w:hAnsi="Arial"/>
        </w:rPr>
        <w:t xml:space="preserve"> ГФ</w:t>
      </w:r>
      <w:r>
        <w:rPr>
          <w:rFonts w:ascii="Arial" w:hAnsi="Arial"/>
        </w:rPr>
        <w:t xml:space="preserve"> на борьбу с ТБ</w:t>
      </w:r>
      <w:r w:rsidR="00133BF6">
        <w:rPr>
          <w:rFonts w:ascii="Arial" w:hAnsi="Arial"/>
        </w:rPr>
        <w:t xml:space="preserve">, </w:t>
      </w:r>
      <w:r w:rsidR="00133BF6" w:rsidRPr="00133BF6">
        <w:rPr>
          <w:rFonts w:ascii="Arial" w:hAnsi="Arial"/>
        </w:rPr>
        <w:t xml:space="preserve">рекомендации миссии </w:t>
      </w:r>
      <w:r w:rsidR="00133BF6">
        <w:rPr>
          <w:rFonts w:ascii="Arial" w:hAnsi="Arial"/>
        </w:rPr>
        <w:t xml:space="preserve">ВОЗ </w:t>
      </w:r>
      <w:r w:rsidR="00133BF6" w:rsidRPr="00133BF6">
        <w:rPr>
          <w:rFonts w:ascii="Arial" w:hAnsi="Arial"/>
        </w:rPr>
        <w:t xml:space="preserve">по </w:t>
      </w:r>
      <w:r w:rsidR="00133BF6">
        <w:rPr>
          <w:rFonts w:ascii="Arial" w:hAnsi="Arial"/>
        </w:rPr>
        <w:t xml:space="preserve">оценке НПТ </w:t>
      </w:r>
      <w:r w:rsidR="00133BF6" w:rsidRPr="00133BF6">
        <w:rPr>
          <w:rFonts w:ascii="Arial" w:hAnsi="Arial"/>
        </w:rPr>
        <w:t>Казахстан</w:t>
      </w:r>
      <w:r w:rsidR="00133BF6">
        <w:rPr>
          <w:rFonts w:ascii="Arial" w:hAnsi="Arial"/>
        </w:rPr>
        <w:t>а</w:t>
      </w:r>
      <w:r w:rsidR="00133BF6" w:rsidRPr="00133BF6">
        <w:rPr>
          <w:rFonts w:ascii="Arial" w:hAnsi="Arial"/>
        </w:rPr>
        <w:t xml:space="preserve"> в июле 2018 г., приоритеты</w:t>
      </w:r>
      <w:r w:rsidR="00133BF6">
        <w:rPr>
          <w:rFonts w:ascii="Arial" w:hAnsi="Arial"/>
        </w:rPr>
        <w:t xml:space="preserve"> выявленные при </w:t>
      </w:r>
      <w:r w:rsidR="00133BF6" w:rsidRPr="00133BF6">
        <w:rPr>
          <w:rFonts w:ascii="Arial" w:hAnsi="Arial"/>
        </w:rPr>
        <w:t>разработ</w:t>
      </w:r>
      <w:r w:rsidR="00133BF6">
        <w:rPr>
          <w:rFonts w:ascii="Arial" w:hAnsi="Arial"/>
        </w:rPr>
        <w:t>ке</w:t>
      </w:r>
      <w:r w:rsidR="00133BF6" w:rsidRPr="00133BF6">
        <w:rPr>
          <w:rFonts w:ascii="Arial" w:hAnsi="Arial"/>
        </w:rPr>
        <w:t xml:space="preserve"> Плана перехода на 2019-2022 гг., и мероприятия, которые должны быть поддержаны Региональным проектом </w:t>
      </w:r>
      <w:r w:rsidR="00133BF6">
        <w:rPr>
          <w:rFonts w:ascii="Arial" w:hAnsi="Arial"/>
        </w:rPr>
        <w:t>ГФ</w:t>
      </w:r>
      <w:r w:rsidR="00133BF6" w:rsidRPr="00133BF6">
        <w:rPr>
          <w:rFonts w:ascii="Arial" w:hAnsi="Arial"/>
        </w:rPr>
        <w:t xml:space="preserve"> «TB-REP 2.0».</w:t>
      </w:r>
      <w:r w:rsidR="00133BF6">
        <w:rPr>
          <w:rFonts w:ascii="Arial" w:hAnsi="Arial"/>
        </w:rPr>
        <w:t xml:space="preserve"> При разработке мероприятий </w:t>
      </w:r>
      <w:r>
        <w:rPr>
          <w:rFonts w:ascii="Arial" w:hAnsi="Arial"/>
        </w:rPr>
        <w:t>было проведено комплексное установление приоритетов с учетом выделенной суммы и совместного финансирования с участием Правительства и партнеров.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Далее приведены основные изменения программы</w:t>
      </w:r>
      <w:r w:rsidR="00FA6DD3">
        <w:rPr>
          <w:rFonts w:ascii="Arial" w:hAnsi="Arial"/>
        </w:rPr>
        <w:t xml:space="preserve"> ГФ</w:t>
      </w:r>
      <w:r>
        <w:rPr>
          <w:rFonts w:ascii="Arial" w:hAnsi="Arial"/>
        </w:rPr>
        <w:t>, которые обосновывают подачу заявки через канал «С учетом существенных изменений», в дополнение к изменениям, приведенным в Разделе 1.2 выше:</w:t>
      </w:r>
    </w:p>
    <w:p w:rsidR="003F2160" w:rsidRDefault="003F2160" w:rsidP="003F2160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Объем финансирования для Казахстана в 2017-2019 гг. по сравнению с ранее выделенными суммами был значительно сокращен (сокращение средств, выделенных на борьбу с ТБ, на 77%), что привело к сокращению масштабов и установлению строгой очередности приоритетов. Таким образом, в эту заявку включены только процедуры, обладающие высоким приоритетом, например, в тех случаях, когда государство не может принять на себя финансирование, либо если в ближайшие годы требуется поэтапный переход.</w:t>
      </w:r>
    </w:p>
    <w:p w:rsidR="003F2160" w:rsidRPr="007D0F2F" w:rsidRDefault="003F2160" w:rsidP="003F2160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Объем закупок через</w:t>
      </w:r>
      <w:r w:rsidR="00FA6DD3">
        <w:rPr>
          <w:rFonts w:ascii="Arial" w:hAnsi="Arial"/>
          <w:b w:val="0"/>
        </w:rPr>
        <w:t xml:space="preserve"> ГФ</w:t>
      </w:r>
      <w:r>
        <w:rPr>
          <w:rFonts w:ascii="Arial" w:hAnsi="Arial"/>
          <w:b w:val="0"/>
        </w:rPr>
        <w:t xml:space="preserve"> был существенно сокращен, учитывая увеличение объема совместного финансирования со стороны Правительства и принятия им на себя части финансирования, включая закупки противотуберкулезных препаратов и диагностических средств из международных источников (Глобальный механизм по обеспечению лекарственными средствами), начиная с 2018 года. Закупки</w:t>
      </w:r>
      <w:r w:rsidR="00736BEA">
        <w:rPr>
          <w:rFonts w:ascii="Arial" w:hAnsi="Arial"/>
          <w:b w:val="0"/>
        </w:rPr>
        <w:t xml:space="preserve"> </w:t>
      </w:r>
      <w:r w:rsidR="00133BF6">
        <w:rPr>
          <w:rFonts w:ascii="Arial" w:hAnsi="Arial"/>
          <w:b w:val="0"/>
        </w:rPr>
        <w:t xml:space="preserve">нового гранта </w:t>
      </w:r>
      <w:r>
        <w:rPr>
          <w:rFonts w:ascii="Arial" w:hAnsi="Arial"/>
          <w:b w:val="0"/>
        </w:rPr>
        <w:t xml:space="preserve">ограничиваются средствами быстрой диагностики и препаратами для лечения МЛУ/ШЛУ-ТБ только в тюрьмах и только в течение первых 1-2 лет после получения нового гранта с последующим переходом обязательств по финансированию к </w:t>
      </w:r>
      <w:r w:rsidR="00622CE1">
        <w:rPr>
          <w:rFonts w:ascii="Arial" w:hAnsi="Arial"/>
          <w:b w:val="0"/>
        </w:rPr>
        <w:t>П</w:t>
      </w:r>
      <w:r>
        <w:rPr>
          <w:rFonts w:ascii="Arial" w:hAnsi="Arial"/>
          <w:b w:val="0"/>
        </w:rPr>
        <w:t>равительству. В то же время спецификации закупок были скорректированы с учетом последних изменений, внесенных в руководство ВОЗ по диагностике и лечению ЛУ-ТБ.</w:t>
      </w:r>
    </w:p>
    <w:p w:rsidR="003F2160" w:rsidRPr="009527D4" w:rsidRDefault="003F2160" w:rsidP="003F216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Кроме того, предложение не предусматривает предоставление пациентам материальных стимулов для соблюдения режима лечения, учитывая увеличение доли государства (региональные бюджеты).</w:t>
      </w:r>
    </w:p>
    <w:p w:rsidR="003F2160" w:rsidRPr="009527D4" w:rsidRDefault="003F2160" w:rsidP="003F216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lastRenderedPageBreak/>
        <w:t>Предоставление поддержки</w:t>
      </w:r>
      <w:r w:rsidR="00FA6DD3">
        <w:rPr>
          <w:rFonts w:ascii="Arial" w:hAnsi="Arial"/>
          <w:b w:val="0"/>
        </w:rPr>
        <w:t xml:space="preserve"> ГФ</w:t>
      </w:r>
      <w:r>
        <w:rPr>
          <w:rFonts w:ascii="Arial" w:hAnsi="Arial"/>
          <w:b w:val="0"/>
        </w:rPr>
        <w:t xml:space="preserve"> для реализации демонстрационных проектов по внедрению метода </w:t>
      </w:r>
      <w:proofErr w:type="spellStart"/>
      <w:r>
        <w:rPr>
          <w:rFonts w:ascii="Arial" w:hAnsi="Arial"/>
          <w:b w:val="0"/>
        </w:rPr>
        <w:t>Xpert</w:t>
      </w:r>
      <w:proofErr w:type="spellEnd"/>
      <w:r>
        <w:rPr>
          <w:rFonts w:ascii="Arial" w:hAnsi="Arial"/>
          <w:b w:val="0"/>
        </w:rPr>
        <w:t xml:space="preserve"> на районном уровне и обеспечению амбулаторного лечения ЛУ-ТБ в трех регионах </w:t>
      </w:r>
      <w:r w:rsidR="00736BEA">
        <w:rPr>
          <w:rFonts w:ascii="Arial" w:hAnsi="Arial"/>
          <w:b w:val="0"/>
        </w:rPr>
        <w:t xml:space="preserve">будет </w:t>
      </w:r>
      <w:r>
        <w:rPr>
          <w:rFonts w:ascii="Arial" w:hAnsi="Arial"/>
          <w:b w:val="0"/>
        </w:rPr>
        <w:t>прекращено, поскольку эти мероприятия подтвердили свою эффективность (например, доля случаев МЛУ-ТБ при полном амбулаторном лечении в этих регионах увеличилась за один год реализации проектов с 20% до 55%), и в будущем Правительство окажет поддержку в реализации этих процедур, используя внутренние ресурсы.</w:t>
      </w:r>
    </w:p>
    <w:p w:rsidR="003F2160" w:rsidRPr="009527D4" w:rsidRDefault="003F2160" w:rsidP="003F216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 xml:space="preserve">Учитывая высокий уровень принятия со стороны поставщиков услуг и высокий спрос со стороны получателей, охват проектов НПО был расширен с </w:t>
      </w:r>
      <w:r w:rsidR="00736BEA">
        <w:rPr>
          <w:rFonts w:ascii="Arial" w:hAnsi="Arial"/>
          <w:b w:val="0"/>
        </w:rPr>
        <w:t xml:space="preserve">первоначальных </w:t>
      </w:r>
      <w:r>
        <w:rPr>
          <w:rFonts w:ascii="Arial" w:hAnsi="Arial"/>
          <w:b w:val="0"/>
        </w:rPr>
        <w:t xml:space="preserve">4 до </w:t>
      </w:r>
      <w:r w:rsidR="00736BEA">
        <w:rPr>
          <w:rFonts w:ascii="Arial" w:hAnsi="Arial"/>
          <w:b w:val="0"/>
        </w:rPr>
        <w:t xml:space="preserve">9 </w:t>
      </w:r>
      <w:r>
        <w:rPr>
          <w:rFonts w:ascii="Arial" w:hAnsi="Arial"/>
          <w:b w:val="0"/>
        </w:rPr>
        <w:t>регионов</w:t>
      </w:r>
      <w:r w:rsidR="00736BEA">
        <w:rPr>
          <w:rFonts w:ascii="Arial" w:hAnsi="Arial"/>
          <w:b w:val="0"/>
        </w:rPr>
        <w:t xml:space="preserve"> в 2018 году и будет расширен до 12 регионов в 2019</w:t>
      </w:r>
      <w:r>
        <w:rPr>
          <w:rFonts w:ascii="Arial" w:hAnsi="Arial"/>
          <w:b w:val="0"/>
        </w:rPr>
        <w:t xml:space="preserve">. Кроме того, была изменена схема предоставления грантов в целях обеспечения комплексного подхода, охватывающего потребности уязвимых и социально-неблагополучных категорий населения </w:t>
      </w:r>
      <w:r w:rsidR="00736BEA">
        <w:rPr>
          <w:rFonts w:ascii="Arial" w:hAnsi="Arial"/>
          <w:b w:val="0"/>
        </w:rPr>
        <w:t xml:space="preserve">(ЛЖВС, ПИН, бездомные, заключенные и лица освободившиеся из тюрем) </w:t>
      </w:r>
      <w:r>
        <w:rPr>
          <w:rFonts w:ascii="Arial" w:hAnsi="Arial"/>
          <w:b w:val="0"/>
        </w:rPr>
        <w:t>в каждой области. Тем не менее ожидается, что местные органы власти увеличат свою долю в совместном финансировании и примут на себя более половины затрат к моменту завершения проекта в 2022 году.</w:t>
      </w:r>
    </w:p>
    <w:p w:rsidR="003F2160" w:rsidRPr="009527D4" w:rsidRDefault="003F2160" w:rsidP="003F216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>
        <w:rPr>
          <w:rFonts w:ascii="Arial" w:hAnsi="Arial"/>
          <w:b w:val="0"/>
        </w:rPr>
        <w:t>Финансирование компонента по ТБ и ЛУ-ТБ среди мигрантов</w:t>
      </w:r>
      <w:r w:rsidR="00F70C8C">
        <w:rPr>
          <w:rFonts w:ascii="Arial" w:hAnsi="Arial"/>
          <w:b w:val="0"/>
        </w:rPr>
        <w:t>, как отдельной задачи,</w:t>
      </w:r>
      <w:r>
        <w:rPr>
          <w:rFonts w:ascii="Arial" w:hAnsi="Arial"/>
          <w:b w:val="0"/>
        </w:rPr>
        <w:t xml:space="preserve"> будет прекращено в связи с достижением ожидаемых результатов</w:t>
      </w:r>
      <w:r w:rsidR="00736BEA">
        <w:rPr>
          <w:rFonts w:ascii="Arial" w:hAnsi="Arial"/>
          <w:b w:val="0"/>
        </w:rPr>
        <w:t>. В тоже время мероприятия среди мигрантов будут реализованы через программу малых грантов для НПО.</w:t>
      </w:r>
    </w:p>
    <w:p w:rsidR="003F2160" w:rsidRPr="00FA6DD3" w:rsidRDefault="003F2160" w:rsidP="003F216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eastAsia="MS Mincho" w:hAnsi="Arial"/>
          <w:b w:val="0"/>
        </w:rPr>
      </w:pPr>
      <w:r w:rsidRPr="00FA6DD3">
        <w:rPr>
          <w:rFonts w:ascii="Arial" w:hAnsi="Arial"/>
          <w:b w:val="0"/>
        </w:rPr>
        <w:t xml:space="preserve">В связи с финансовыми ограничениями и уменьшением объема вмешательств (например, сокращение закупок) механизмы управления и контроля грантов будут упрощены и оптимизированы, т.е. предстоящий проект предусматривает </w:t>
      </w:r>
      <w:r w:rsidR="00FA6DD3" w:rsidRPr="00FA6DD3">
        <w:rPr>
          <w:rFonts w:ascii="Arial" w:hAnsi="Arial"/>
          <w:b w:val="0"/>
        </w:rPr>
        <w:t xml:space="preserve">отсутствие </w:t>
      </w:r>
      <w:proofErr w:type="spellStart"/>
      <w:r w:rsidRPr="00FA6DD3">
        <w:rPr>
          <w:rFonts w:ascii="Arial" w:hAnsi="Arial"/>
          <w:b w:val="0"/>
        </w:rPr>
        <w:t>суб</w:t>
      </w:r>
      <w:proofErr w:type="spellEnd"/>
      <w:r w:rsidR="00736BEA">
        <w:rPr>
          <w:rFonts w:ascii="Arial" w:hAnsi="Arial"/>
          <w:b w:val="0"/>
        </w:rPr>
        <w:t>-</w:t>
      </w:r>
      <w:r w:rsidRPr="00FA6DD3">
        <w:rPr>
          <w:rFonts w:ascii="Arial" w:hAnsi="Arial"/>
          <w:b w:val="0"/>
        </w:rPr>
        <w:t>реципиентов, сокращение численности персонала и другие показатели роста эффективности.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Запрос на финансирование соответствует требованиям </w:t>
      </w:r>
      <w:r w:rsidR="00AA0737">
        <w:rPr>
          <w:rFonts w:ascii="Arial" w:hAnsi="Arial"/>
        </w:rPr>
        <w:t>ГФ</w:t>
      </w:r>
      <w:r>
        <w:rPr>
          <w:rFonts w:ascii="Arial" w:hAnsi="Arial"/>
        </w:rPr>
        <w:t xml:space="preserve"> к совместному финансированию, изложенным в письме о выделении средств; подробную информацию см. в Разделе 4.1 данной формы. Считается, что данная заявка соответствует требованию к 100%-ному сосредоточению </w:t>
      </w:r>
      <w:r w:rsidR="004C4DB9">
        <w:rPr>
          <w:rFonts w:ascii="Arial" w:hAnsi="Arial"/>
        </w:rPr>
        <w:t xml:space="preserve">внимания </w:t>
      </w:r>
      <w:r>
        <w:rPr>
          <w:rFonts w:ascii="Arial" w:hAnsi="Arial"/>
        </w:rPr>
        <w:t>на недостаточно обслуживаемых и наиболее уязвимых группах населения, а также на вмешательствах с наибольшей</w:t>
      </w:r>
      <w:r w:rsidR="0009285B">
        <w:rPr>
          <w:rFonts w:ascii="Arial" w:hAnsi="Arial"/>
        </w:rPr>
        <w:t xml:space="preserve"> степенью воздействия.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Согласно классификации ВОЗ, Казахстан входит в список стран мира с высоким бременем МЛУ-ТБ. Действия, предусмотренные данной заявкой, направлены на поддержку специальных групп </w:t>
      </w:r>
      <w:r w:rsidR="00736BEA" w:rsidRPr="00736BEA">
        <w:rPr>
          <w:rFonts w:ascii="Arial" w:hAnsi="Arial"/>
        </w:rPr>
        <w:t>(ЛЖВС, ПИН, бездомные, заключенные и лица освободившиеся из тюрем)</w:t>
      </w:r>
      <w:r w:rsidR="00736BEA">
        <w:rPr>
          <w:rFonts w:ascii="Arial" w:hAnsi="Arial"/>
        </w:rPr>
        <w:t xml:space="preserve"> </w:t>
      </w:r>
      <w:r>
        <w:rPr>
          <w:rFonts w:ascii="Arial" w:hAnsi="Arial"/>
        </w:rPr>
        <w:t>ил</w:t>
      </w:r>
      <w:r w:rsidR="00EA1F19">
        <w:rPr>
          <w:rFonts w:ascii="Arial" w:hAnsi="Arial"/>
        </w:rPr>
        <w:t xml:space="preserve">и конкретных вмешательств, </w:t>
      </w:r>
      <w:r>
        <w:rPr>
          <w:rFonts w:ascii="Arial" w:hAnsi="Arial"/>
        </w:rPr>
        <w:t>предназначенных для диагностики, лечения и оказания поддержки в случае ЛУ-ТБ. Пациенты с ЛУ-ТБ, у большинства из которых зарегистрированы формы М/ШЛУ-ТБ, особенно подвержены влиянию барьеров в обслуживании и в случае, если им не будет оказана соответствующая поддержка для получения необходимого пакета услуг, могут понести значительные финансовые расходы и косвенные убытки. Поэтому считается, что все или почти все пациенты с ЛУ-ТБ подпадают под категорию</w:t>
      </w:r>
      <w:r w:rsidR="00657DF8">
        <w:rPr>
          <w:rFonts w:ascii="Arial" w:hAnsi="Arial"/>
        </w:rPr>
        <w:t xml:space="preserve"> ГФ</w:t>
      </w:r>
      <w:r>
        <w:rPr>
          <w:rFonts w:ascii="Arial" w:hAnsi="Arial"/>
        </w:rPr>
        <w:t xml:space="preserve"> «недостаточно обслуживаемые сегменты населения», </w:t>
      </w:r>
      <w:r w:rsidR="00EA1F19">
        <w:rPr>
          <w:rFonts w:ascii="Arial" w:hAnsi="Arial"/>
        </w:rPr>
        <w:t>у которых</w:t>
      </w:r>
      <w:r>
        <w:rPr>
          <w:rFonts w:ascii="Arial" w:hAnsi="Arial"/>
        </w:rPr>
        <w:t xml:space="preserve">, скорее всего, не </w:t>
      </w:r>
      <w:r w:rsidR="00EA1F19">
        <w:rPr>
          <w:rFonts w:ascii="Arial" w:hAnsi="Arial"/>
        </w:rPr>
        <w:t xml:space="preserve">будет </w:t>
      </w:r>
      <w:r>
        <w:rPr>
          <w:rFonts w:ascii="Arial" w:hAnsi="Arial"/>
        </w:rPr>
        <w:t>своевременн</w:t>
      </w:r>
      <w:r w:rsidR="00EA1F19">
        <w:rPr>
          <w:rFonts w:ascii="Arial" w:hAnsi="Arial"/>
        </w:rPr>
        <w:t xml:space="preserve">ого </w:t>
      </w:r>
      <w:r>
        <w:rPr>
          <w:rFonts w:ascii="Arial" w:hAnsi="Arial"/>
        </w:rPr>
        <w:t>доступ</w:t>
      </w:r>
      <w:r w:rsidR="00EA1F19">
        <w:rPr>
          <w:rFonts w:ascii="Arial" w:hAnsi="Arial"/>
        </w:rPr>
        <w:t xml:space="preserve">а </w:t>
      </w:r>
      <w:r>
        <w:rPr>
          <w:rFonts w:ascii="Arial" w:hAnsi="Arial"/>
        </w:rPr>
        <w:t xml:space="preserve">к современной диагностике, качественному лечению и помощи в соблюдении режима лечения, следовательно, </w:t>
      </w:r>
      <w:r w:rsidR="00EA1F19">
        <w:rPr>
          <w:rFonts w:ascii="Arial" w:hAnsi="Arial"/>
        </w:rPr>
        <w:t xml:space="preserve">они </w:t>
      </w:r>
      <w:r>
        <w:rPr>
          <w:rFonts w:ascii="Arial" w:hAnsi="Arial"/>
        </w:rPr>
        <w:t>подвержены высокому риску прерывания лечени</w:t>
      </w:r>
      <w:r w:rsidR="002B1A67">
        <w:rPr>
          <w:rFonts w:ascii="Arial" w:hAnsi="Arial"/>
        </w:rPr>
        <w:t>я</w:t>
      </w:r>
      <w:r>
        <w:rPr>
          <w:rFonts w:ascii="Arial" w:hAnsi="Arial"/>
        </w:rPr>
        <w:t xml:space="preserve"> ЛУ-ТБ, что может привести к неудачному исходу лечения и смерти.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В то же время, предложение включает в себя высокоэффективные процедуры, такие как внедрение современных технологий молекулярной диагностики (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MTB/RIF) на </w:t>
      </w:r>
      <w:r w:rsidR="00694DF8">
        <w:rPr>
          <w:rFonts w:ascii="Arial" w:hAnsi="Arial"/>
        </w:rPr>
        <w:t>периферическом</w:t>
      </w:r>
      <w:r>
        <w:rPr>
          <w:rFonts w:ascii="Arial" w:hAnsi="Arial"/>
        </w:rPr>
        <w:t xml:space="preserve"> уровне предоставления услуг с целью быстрой диагностики ТБ и устойчивости к </w:t>
      </w:r>
      <w:proofErr w:type="spellStart"/>
      <w:r>
        <w:rPr>
          <w:rFonts w:ascii="Arial" w:hAnsi="Arial"/>
        </w:rPr>
        <w:t>рифампицину</w:t>
      </w:r>
      <w:proofErr w:type="spellEnd"/>
      <w:r>
        <w:rPr>
          <w:rFonts w:ascii="Arial" w:hAnsi="Arial"/>
        </w:rPr>
        <w:t>, увеличения объема ТЛЧ и лечения с применением нов</w:t>
      </w:r>
      <w:r w:rsidR="00F86720">
        <w:rPr>
          <w:rFonts w:ascii="Arial" w:hAnsi="Arial"/>
        </w:rPr>
        <w:t>ых, рекомендованных ВОЗ схем лечения ЛУ-ТБ в тюрьмах</w:t>
      </w:r>
      <w:r>
        <w:rPr>
          <w:rFonts w:ascii="Arial" w:hAnsi="Arial"/>
        </w:rPr>
        <w:t xml:space="preserve">. Достижение полного охвата потребностей страны, включая пенитенциарный сектор, окажет существенное влияние на эффективность предоставления услуг, что, в свою очередь, будет способствовать снижению общего бремени ТБ и ЛУ-ТБ. </w:t>
      </w:r>
      <w:r w:rsidR="00694DF8">
        <w:rPr>
          <w:rFonts w:ascii="Arial" w:hAnsi="Arial"/>
        </w:rPr>
        <w:t>Интервенция</w:t>
      </w:r>
      <w:r>
        <w:rPr>
          <w:rFonts w:ascii="Arial" w:hAnsi="Arial"/>
        </w:rPr>
        <w:t xml:space="preserve"> 2.3 включает в себя конкретные </w:t>
      </w:r>
      <w:r>
        <w:rPr>
          <w:rFonts w:ascii="Arial" w:hAnsi="Arial"/>
        </w:rPr>
        <w:lastRenderedPageBreak/>
        <w:t>меры, направленные на расширение доступа и повышение качества медицинской помощи среди уязвимых и социально-неблагоприятных групп населения, которые обладают ограниченным доступом к медицинской помощи. Поддержка</w:t>
      </w:r>
      <w:r w:rsidR="00657DF8">
        <w:rPr>
          <w:rFonts w:ascii="Arial" w:hAnsi="Arial"/>
        </w:rPr>
        <w:t xml:space="preserve"> ГФ</w:t>
      </w:r>
      <w:r>
        <w:rPr>
          <w:rFonts w:ascii="Arial" w:hAnsi="Arial"/>
        </w:rPr>
        <w:t xml:space="preserve"> будет использоваться для расширения применения успешной практики местными органами власти посредством постоянного вовлечения общественных организаций и более широких местных коалиций в борьбу с ТБ.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Мероприятия, направленные на совершенствование нормативно-правовой базы, а также мероприятия по развитию потенциала на различных уровнях считаются полностью прозрачными в вышеуказанном контексте. Поэтому СКК считает, что данная заявка полностью соответствует требованиям</w:t>
      </w:r>
      <w:r w:rsidR="00657DF8">
        <w:rPr>
          <w:rFonts w:ascii="Arial" w:hAnsi="Arial"/>
        </w:rPr>
        <w:t xml:space="preserve"> ГФ</w:t>
      </w:r>
      <w:r>
        <w:rPr>
          <w:rFonts w:ascii="Arial" w:hAnsi="Arial"/>
        </w:rPr>
        <w:t>, касающимся сосредоточенности на ключевых группах населения и/или высокоэффективных вмешательствах.</w:t>
      </w:r>
    </w:p>
    <w:p w:rsidR="003F2160" w:rsidRPr="009527D4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рамках проекта особое внимание уделяется построению надежных и устойчивых систем здравоохранения (см. </w:t>
      </w:r>
      <w:r w:rsidR="00694DF8">
        <w:rPr>
          <w:rFonts w:ascii="Arial" w:hAnsi="Arial"/>
        </w:rPr>
        <w:t>Задача</w:t>
      </w:r>
      <w:r>
        <w:rPr>
          <w:rFonts w:ascii="Arial" w:hAnsi="Arial"/>
        </w:rPr>
        <w:t xml:space="preserve"> 1 ниже). Инвестиции в ЖУССЗ характеризуются соответствующим объемом и долей бюджета в гранте (</w:t>
      </w:r>
      <w:r w:rsidRPr="00FB30B7">
        <w:rPr>
          <w:rFonts w:ascii="Arial" w:hAnsi="Arial"/>
        </w:rPr>
        <w:t>1</w:t>
      </w:r>
      <w:r w:rsidR="00C42EFD" w:rsidRPr="00FB30B7">
        <w:rPr>
          <w:rFonts w:ascii="Arial" w:hAnsi="Arial"/>
        </w:rPr>
        <w:t>3</w:t>
      </w:r>
      <w:r w:rsidRPr="00FB30B7">
        <w:rPr>
          <w:rFonts w:ascii="Arial" w:hAnsi="Arial"/>
        </w:rPr>
        <w:t>,</w:t>
      </w:r>
      <w:r w:rsidR="00C42EFD" w:rsidRPr="00FB30B7">
        <w:rPr>
          <w:rFonts w:ascii="Arial" w:hAnsi="Arial"/>
        </w:rPr>
        <w:t>6</w:t>
      </w:r>
      <w:r w:rsidRPr="00FB30B7">
        <w:rPr>
          <w:rFonts w:ascii="Arial" w:hAnsi="Arial"/>
        </w:rPr>
        <w:t>%</w:t>
      </w:r>
      <w:r>
        <w:rPr>
          <w:rFonts w:ascii="Arial" w:hAnsi="Arial"/>
        </w:rPr>
        <w:t xml:space="preserve"> от бюджета в пределах выделяемых сумм).</w:t>
      </w:r>
    </w:p>
    <w:p w:rsidR="00A36DEF" w:rsidRPr="00FB30B7" w:rsidRDefault="003F2160" w:rsidP="00FB30B7">
      <w:pPr>
        <w:spacing w:after="120" w:line="240" w:lineRule="auto"/>
        <w:jc w:val="both"/>
        <w:rPr>
          <w:rFonts w:ascii="Arial" w:hAnsi="Arial"/>
          <w:b/>
          <w:highlight w:val="yellow"/>
        </w:rPr>
      </w:pPr>
      <w:r w:rsidRPr="00657DF8">
        <w:rPr>
          <w:rFonts w:ascii="Arial" w:hAnsi="Arial"/>
          <w:b/>
          <w:i/>
        </w:rPr>
        <w:t>Целью</w:t>
      </w:r>
      <w:r>
        <w:rPr>
          <w:rFonts w:ascii="Arial" w:hAnsi="Arial"/>
        </w:rPr>
        <w:t xml:space="preserve"> проекта является: </w:t>
      </w:r>
      <w:r w:rsidR="00A36DEF" w:rsidRPr="00FB30B7">
        <w:rPr>
          <w:rFonts w:ascii="Arial" w:hAnsi="Arial"/>
          <w:b/>
          <w:bCs/>
        </w:rPr>
        <w:t>Проведение комплексных мероприятий на вызовы лекарственно-устойчивого ТБ в Казахстане, с пациент-ориентированным подходом, направленных на уязвимые группы населения.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Далее представлена структура предложения, которая включает 2 основные </w:t>
      </w:r>
      <w:r w:rsidR="00694DF8">
        <w:rPr>
          <w:rFonts w:ascii="Arial" w:hAnsi="Arial"/>
        </w:rPr>
        <w:t>Задачи</w:t>
      </w:r>
      <w:r>
        <w:rPr>
          <w:rFonts w:ascii="Arial" w:hAnsi="Arial"/>
        </w:rPr>
        <w:t xml:space="preserve">, 4 модуля и 7 </w:t>
      </w:r>
      <w:r w:rsidR="00694DF8">
        <w:rPr>
          <w:rFonts w:ascii="Arial" w:hAnsi="Arial"/>
        </w:rPr>
        <w:t>интервенций</w:t>
      </w:r>
      <w:r>
        <w:rPr>
          <w:rFonts w:ascii="Arial" w:hAnsi="Arial"/>
        </w:rPr>
        <w:t>, включая управление грант</w:t>
      </w:r>
      <w:r w:rsidR="00694DF8">
        <w:rPr>
          <w:rFonts w:ascii="Arial" w:hAnsi="Arial"/>
        </w:rPr>
        <w:t>ом</w:t>
      </w:r>
      <w:r>
        <w:rPr>
          <w:rFonts w:ascii="Arial" w:hAnsi="Arial"/>
        </w:rPr>
        <w:t>:</w:t>
      </w:r>
    </w:p>
    <w:p w:rsidR="00694DF8" w:rsidRDefault="00694DF8" w:rsidP="003F2160">
      <w:pPr>
        <w:spacing w:after="120" w:line="240" w:lineRule="auto"/>
        <w:jc w:val="center"/>
        <w:rPr>
          <w:rFonts w:ascii="Arial" w:hAnsi="Arial"/>
          <w:b/>
          <w:sz w:val="20"/>
          <w:szCs w:val="20"/>
        </w:rPr>
      </w:pPr>
    </w:p>
    <w:p w:rsidR="003F2160" w:rsidRPr="00657DF8" w:rsidRDefault="003F2160" w:rsidP="003F2160">
      <w:pPr>
        <w:spacing w:after="120" w:line="240" w:lineRule="auto"/>
        <w:jc w:val="center"/>
        <w:rPr>
          <w:rFonts w:ascii="Arial" w:hAnsi="Arial"/>
          <w:b/>
          <w:sz w:val="20"/>
          <w:szCs w:val="20"/>
        </w:rPr>
      </w:pPr>
      <w:r w:rsidRPr="00657DF8">
        <w:rPr>
          <w:rFonts w:ascii="Arial" w:hAnsi="Arial"/>
          <w:b/>
          <w:sz w:val="20"/>
          <w:szCs w:val="20"/>
        </w:rPr>
        <w:t xml:space="preserve">Таблица 2. Структура проекта: </w:t>
      </w:r>
      <w:r w:rsidR="00694DF8">
        <w:rPr>
          <w:rFonts w:ascii="Arial" w:hAnsi="Arial"/>
          <w:b/>
          <w:sz w:val="20"/>
          <w:szCs w:val="20"/>
        </w:rPr>
        <w:t>Задачи</w:t>
      </w:r>
      <w:r w:rsidRPr="00657DF8">
        <w:rPr>
          <w:rFonts w:ascii="Arial" w:hAnsi="Arial"/>
          <w:b/>
          <w:sz w:val="20"/>
          <w:szCs w:val="20"/>
        </w:rPr>
        <w:t xml:space="preserve">, модули, </w:t>
      </w:r>
      <w:r w:rsidR="00694DF8">
        <w:rPr>
          <w:rFonts w:ascii="Arial" w:hAnsi="Arial"/>
          <w:b/>
          <w:sz w:val="20"/>
          <w:szCs w:val="20"/>
        </w:rPr>
        <w:t>интервенции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3F2160" w:rsidRPr="009527D4" w:rsidTr="00DC3DD1">
        <w:tc>
          <w:tcPr>
            <w:tcW w:w="3005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Задача</w:t>
            </w:r>
          </w:p>
        </w:tc>
        <w:tc>
          <w:tcPr>
            <w:tcW w:w="2660" w:type="dxa"/>
            <w:shd w:val="clear" w:color="auto" w:fill="auto"/>
          </w:tcPr>
          <w:p w:rsidR="003F2160" w:rsidRPr="009527D4" w:rsidRDefault="003F2160" w:rsidP="00DC3DD1">
            <w:pPr>
              <w:spacing w:before="6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Модуль</w:t>
            </w: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>Интервенция</w:t>
            </w:r>
          </w:p>
        </w:tc>
      </w:tr>
      <w:tr w:rsidR="003F2160" w:rsidRPr="009527D4" w:rsidTr="00DC3DD1">
        <w:tc>
          <w:tcPr>
            <w:tcW w:w="3005" w:type="dxa"/>
            <w:vMerge w:val="restart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Задача</w:t>
            </w:r>
            <w:r w:rsidR="003F2160">
              <w:rPr>
                <w:rFonts w:ascii="Arial" w:hAnsi="Arial"/>
              </w:rPr>
              <w:t xml:space="preserve"> 1. Обеспечить комплексную и устойчивую ответную реакцию системы здравоохранения на проблемы, связанные с ЛУ-ТБ</w:t>
            </w:r>
          </w:p>
        </w:tc>
        <w:tc>
          <w:tcPr>
            <w:tcW w:w="2660" w:type="dxa"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Модуль: ЖУССЗ: Предоставление комплексных услуг и улучшение качества</w:t>
            </w: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1.1. Политика поддержки и программная среда</w:t>
            </w:r>
          </w:p>
        </w:tc>
      </w:tr>
      <w:tr w:rsidR="003F2160" w:rsidRPr="009527D4" w:rsidTr="00DC3DD1">
        <w:tc>
          <w:tcPr>
            <w:tcW w:w="3005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:rsidR="003F2160" w:rsidRPr="009527D4" w:rsidRDefault="003F2160" w:rsidP="00657DF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Модуль: ЖУССЗ: Информационные системы по управлению здравоохранением</w:t>
            </w:r>
            <w:r w:rsidR="00657DF8">
              <w:rPr>
                <w:rFonts w:ascii="Arial" w:hAnsi="Arial"/>
              </w:rPr>
              <w:t>, мониторингу и оценке</w:t>
            </w: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1.2. Качество программы и данных </w:t>
            </w:r>
            <w:r w:rsidR="003F2160">
              <w:rPr>
                <w:rFonts w:ascii="Arial" w:hAnsi="Arial"/>
              </w:rPr>
              <w:tab/>
            </w:r>
          </w:p>
        </w:tc>
      </w:tr>
      <w:tr w:rsidR="003F2160" w:rsidRPr="009527D4" w:rsidTr="00DC3DD1">
        <w:tc>
          <w:tcPr>
            <w:tcW w:w="3005" w:type="dxa"/>
            <w:vMerge w:val="restart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Задача</w:t>
            </w:r>
            <w:r w:rsidR="003F2160">
              <w:rPr>
                <w:rFonts w:ascii="Arial" w:hAnsi="Arial"/>
              </w:rPr>
              <w:t xml:space="preserve"> 2. Поддержание всеобщего доступа к качественным и ориентированным на пациентов диагностике, лечению и профилактике ЛУ-ТБ.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Модуль: Туберкулез с множественной лекарственной устойчивостью (МЛУ-ТБ)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6B5263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2.1.  </w:t>
            </w:r>
            <w:r w:rsidR="006B5263">
              <w:rPr>
                <w:rFonts w:ascii="Arial" w:hAnsi="Arial"/>
              </w:rPr>
              <w:t>Выявление</w:t>
            </w:r>
            <w:r w:rsidR="003F2160">
              <w:rPr>
                <w:rFonts w:ascii="Arial" w:hAnsi="Arial"/>
              </w:rPr>
              <w:t xml:space="preserve"> и диагностика случаев: МЛУ-ТБ</w:t>
            </w:r>
          </w:p>
        </w:tc>
      </w:tr>
      <w:tr w:rsidR="003F2160" w:rsidRPr="009527D4" w:rsidTr="00DC3DD1">
        <w:tc>
          <w:tcPr>
            <w:tcW w:w="3005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2.2. Лечение: МЛУ-ТБ</w:t>
            </w:r>
          </w:p>
        </w:tc>
      </w:tr>
      <w:tr w:rsidR="003F2160" w:rsidRPr="009527D4" w:rsidTr="00DC3DD1">
        <w:tc>
          <w:tcPr>
            <w:tcW w:w="3005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2.3. Предоставление медицинской помощи на местном уровне: МЛУ-ТБ   </w:t>
            </w:r>
          </w:p>
        </w:tc>
      </w:tr>
      <w:tr w:rsidR="003F2160" w:rsidRPr="009527D4" w:rsidTr="00DC3DD1">
        <w:tc>
          <w:tcPr>
            <w:tcW w:w="3005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2.4. Другие процедуры, связанные с МЛУ-ТБ</w:t>
            </w:r>
          </w:p>
        </w:tc>
      </w:tr>
      <w:tr w:rsidR="003F2160" w:rsidRPr="009527D4" w:rsidTr="00DC3DD1">
        <w:tc>
          <w:tcPr>
            <w:tcW w:w="3005" w:type="dxa"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3. Управление грантами</w:t>
            </w:r>
          </w:p>
        </w:tc>
        <w:tc>
          <w:tcPr>
            <w:tcW w:w="2660" w:type="dxa"/>
            <w:shd w:val="clear" w:color="auto" w:fill="auto"/>
          </w:tcPr>
          <w:p w:rsidR="003F2160" w:rsidRPr="009527D4" w:rsidRDefault="003F2160" w:rsidP="00DC3DD1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Модуль: Управление программами</w:t>
            </w:r>
          </w:p>
        </w:tc>
        <w:tc>
          <w:tcPr>
            <w:tcW w:w="3351" w:type="dxa"/>
            <w:shd w:val="clear" w:color="auto" w:fill="auto"/>
          </w:tcPr>
          <w:p w:rsidR="003F2160" w:rsidRPr="009527D4" w:rsidRDefault="00694DF8" w:rsidP="00DC3DD1">
            <w:pPr>
              <w:spacing w:before="60" w:after="60"/>
              <w:rPr>
                <w:rFonts w:ascii="Arial" w:hAnsi="Arial"/>
                <w:b/>
              </w:rPr>
            </w:pPr>
            <w:r w:rsidRPr="00694DF8">
              <w:rPr>
                <w:rFonts w:ascii="Arial" w:hAnsi="Arial"/>
              </w:rPr>
              <w:t>Интервенция</w:t>
            </w:r>
            <w:r w:rsidR="003F2160">
              <w:rPr>
                <w:rFonts w:ascii="Arial" w:hAnsi="Arial"/>
              </w:rPr>
              <w:t xml:space="preserve"> 3.1. Управление грантами</w:t>
            </w:r>
          </w:p>
        </w:tc>
      </w:tr>
    </w:tbl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  <w:color w:val="FF0000"/>
          <w:sz w:val="8"/>
          <w:szCs w:val="8"/>
        </w:rPr>
      </w:pP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Поскольку устойчивость к противотуберкулезным препаратам представляет собой главную проблему в отношении эффективного контроля ТБ в стране, большинство мероприятий проекта включены в модуль «МЛУ-ТБ». Что касается финансирования, на эти мероприятия выделяется </w:t>
      </w:r>
      <w:r w:rsidRPr="00FB30B7">
        <w:rPr>
          <w:rFonts w:ascii="Arial" w:hAnsi="Arial"/>
        </w:rPr>
        <w:t>7</w:t>
      </w:r>
      <w:r w:rsidR="00C42EFD" w:rsidRPr="00FB30B7">
        <w:rPr>
          <w:rFonts w:ascii="Arial" w:hAnsi="Arial"/>
        </w:rPr>
        <w:t>4.6</w:t>
      </w:r>
      <w:r w:rsidRPr="00FB30B7">
        <w:rPr>
          <w:rFonts w:ascii="Arial" w:hAnsi="Arial"/>
        </w:rPr>
        <w:t>%</w:t>
      </w:r>
      <w:r>
        <w:rPr>
          <w:rFonts w:ascii="Arial" w:hAnsi="Arial"/>
        </w:rPr>
        <w:t xml:space="preserve"> бюджета в рамках ассигнований. В то же время, также включены некоторые важные мероприятия в рамках модулей ЖУССЗ.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Краткое описание предлагаемых действий по каждой </w:t>
      </w:r>
      <w:r w:rsidR="00694DF8">
        <w:rPr>
          <w:rFonts w:ascii="Arial" w:hAnsi="Arial"/>
        </w:rPr>
        <w:t>Задаче</w:t>
      </w:r>
      <w:r>
        <w:rPr>
          <w:rFonts w:ascii="Arial" w:hAnsi="Arial"/>
        </w:rPr>
        <w:t xml:space="preserve"> и </w:t>
      </w:r>
      <w:r w:rsidR="00694DF8" w:rsidRPr="00694DF8">
        <w:rPr>
          <w:rFonts w:ascii="Arial" w:hAnsi="Arial"/>
        </w:rPr>
        <w:t>Интервенция</w:t>
      </w:r>
      <w:r w:rsidR="00694DF8">
        <w:rPr>
          <w:rFonts w:ascii="Arial" w:hAnsi="Arial"/>
        </w:rPr>
        <w:t>м</w:t>
      </w:r>
      <w:r>
        <w:rPr>
          <w:rFonts w:ascii="Arial" w:hAnsi="Arial"/>
        </w:rPr>
        <w:t xml:space="preserve"> приведено ниже.</w:t>
      </w:r>
    </w:p>
    <w:p w:rsidR="003F2160" w:rsidRPr="00657DF8" w:rsidRDefault="00694DF8" w:rsidP="003F2160">
      <w:pPr>
        <w:spacing w:after="120" w:line="240" w:lineRule="auto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Задача</w:t>
      </w:r>
      <w:r w:rsidR="003F2160" w:rsidRPr="00657DF8">
        <w:rPr>
          <w:rFonts w:ascii="Arial" w:hAnsi="Arial"/>
          <w:b/>
        </w:rPr>
        <w:t xml:space="preserve"> 1.</w:t>
      </w:r>
      <w:r w:rsidR="003F2160" w:rsidRPr="00657DF8">
        <w:rPr>
          <w:rFonts w:ascii="Arial" w:hAnsi="Arial"/>
          <w:b/>
        </w:rPr>
        <w:tab/>
        <w:t>Обеспечить комплексную и устойчивую ответную реакцию системы здравоохранения на проблемы, связанные с ЛУ-ТБ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Мероприятия в рамках данной </w:t>
      </w:r>
      <w:r w:rsidR="00694DF8">
        <w:rPr>
          <w:rFonts w:ascii="Arial" w:hAnsi="Arial"/>
        </w:rPr>
        <w:t>Задачи</w:t>
      </w:r>
      <w:r>
        <w:rPr>
          <w:rFonts w:ascii="Arial" w:hAnsi="Arial"/>
        </w:rPr>
        <w:t xml:space="preserve"> направлены на поддержание информационно-</w:t>
      </w:r>
      <w:proofErr w:type="spellStart"/>
      <w:r w:rsidR="00694DF8">
        <w:rPr>
          <w:rFonts w:ascii="Arial" w:hAnsi="Arial"/>
        </w:rPr>
        <w:t>адвокационной</w:t>
      </w:r>
      <w:proofErr w:type="spellEnd"/>
      <w:r>
        <w:rPr>
          <w:rFonts w:ascii="Arial" w:hAnsi="Arial"/>
        </w:rPr>
        <w:t xml:space="preserve"> деятельности на высоком уровне и </w:t>
      </w:r>
      <w:r w:rsidR="00804A41">
        <w:rPr>
          <w:rFonts w:ascii="Arial" w:hAnsi="Arial"/>
        </w:rPr>
        <w:t xml:space="preserve">на </w:t>
      </w:r>
      <w:proofErr w:type="spellStart"/>
      <w:r>
        <w:rPr>
          <w:rFonts w:ascii="Arial" w:hAnsi="Arial"/>
        </w:rPr>
        <w:t>межсекторальн</w:t>
      </w:r>
      <w:r w:rsidR="003B009D">
        <w:rPr>
          <w:rFonts w:ascii="Arial" w:hAnsi="Arial"/>
        </w:rPr>
        <w:t>у</w:t>
      </w:r>
      <w:r>
        <w:rPr>
          <w:rFonts w:ascii="Arial" w:hAnsi="Arial"/>
        </w:rPr>
        <w:t>ю</w:t>
      </w:r>
      <w:proofErr w:type="spellEnd"/>
      <w:r>
        <w:rPr>
          <w:rFonts w:ascii="Arial" w:hAnsi="Arial"/>
        </w:rPr>
        <w:t xml:space="preserve"> координацию для обеспечения выполнения обязательств по борьбе с ТБ, наращивания потенциала для укрепления системы здравоохранения в целях реализации </w:t>
      </w:r>
      <w:r w:rsidR="003B009D">
        <w:rPr>
          <w:rFonts w:ascii="Arial" w:hAnsi="Arial"/>
        </w:rPr>
        <w:t xml:space="preserve">пациент </w:t>
      </w:r>
      <w:r>
        <w:rPr>
          <w:rFonts w:ascii="Arial" w:hAnsi="Arial"/>
        </w:rPr>
        <w:t>ориентированных подходов к лечению ТБ, усиления мониторинга и оценки национальной программы борьбы с ТБ, а также для предоставления подтверждающих данных для принятия решений.</w:t>
      </w:r>
    </w:p>
    <w:p w:rsidR="003F2160" w:rsidRPr="009527D4" w:rsidRDefault="00694DF8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1.1. Политика поддержки и программная среда</w:t>
      </w:r>
    </w:p>
    <w:p w:rsidR="003F2160" w:rsidRPr="009527D4" w:rsidRDefault="00694DF8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Модуль: </w:t>
      </w:r>
      <w:r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>ЖУССЗ - предоставление комплексных услуг и улучшение качества</w:t>
      </w:r>
      <w:r w:rsidR="003F2160"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ab/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Многосекторальная</w:t>
      </w:r>
      <w:proofErr w:type="spellEnd"/>
      <w:r>
        <w:rPr>
          <w:rFonts w:ascii="Arial" w:hAnsi="Arial"/>
        </w:rPr>
        <w:t xml:space="preserve"> рабочая группа, созданная в рамках </w:t>
      </w:r>
      <w:r w:rsidR="00694DF8">
        <w:rPr>
          <w:rFonts w:ascii="Arial" w:hAnsi="Arial"/>
        </w:rPr>
        <w:t>текущего</w:t>
      </w:r>
      <w:r>
        <w:rPr>
          <w:rFonts w:ascii="Arial" w:hAnsi="Arial"/>
        </w:rPr>
        <w:t xml:space="preserve"> гранта, получит дальнейшую поддержку при осуществлении информационно-</w:t>
      </w:r>
      <w:proofErr w:type="spellStart"/>
      <w:r w:rsidR="00694DF8">
        <w:rPr>
          <w:rFonts w:ascii="Arial" w:hAnsi="Arial"/>
        </w:rPr>
        <w:t>адвокационной</w:t>
      </w:r>
      <w:proofErr w:type="spellEnd"/>
      <w:r>
        <w:rPr>
          <w:rFonts w:ascii="Arial" w:hAnsi="Arial"/>
        </w:rPr>
        <w:t xml:space="preserve"> деятельности на высоком уровне и повышении уровня политической приверженности эффективному управлению системой здравоохранения и предоставлению финансирования для мероприятий по борьбе с ТБ, включая укрепление и координацию участия неправительственного сектора. В рамках нового гранта будут выделены средства для оказания поддержки национальным экспертам в разработке соответствующих нормативных актов как для гражданских, так и пенитенциарных служб, а также рекомендаций для НПО в соответствии с международными рекомендациями и передовой практикой. В рамках проекта также будет оказана поддержка при проведении координационных совещаний с более </w:t>
      </w:r>
      <w:r w:rsidR="00804A41">
        <w:rPr>
          <w:rFonts w:ascii="Arial" w:hAnsi="Arial"/>
        </w:rPr>
        <w:t>обширным</w:t>
      </w:r>
      <w:r>
        <w:rPr>
          <w:rFonts w:ascii="Arial" w:hAnsi="Arial"/>
        </w:rPr>
        <w:t xml:space="preserve"> участием правительственных учреждений (включая Министерство финансов и Комитет по уголовно-исполнительной системе Министерства внутренних дел), руководителей в области здравоохранения на центральном и региональном уровнях, представителей научных кругов, гражданского общества и других негосударственных субъектов.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рамках проекта будут организованы специальные обучающие семинары и обсуждения в формате круглого стола на </w:t>
      </w:r>
      <w:r w:rsidR="00694DF8">
        <w:rPr>
          <w:rFonts w:ascii="Arial" w:hAnsi="Arial"/>
        </w:rPr>
        <w:t>ц</w:t>
      </w:r>
      <w:r w:rsidR="001B3AEF">
        <w:rPr>
          <w:rFonts w:ascii="Arial" w:hAnsi="Arial"/>
          <w:lang w:val="en-US"/>
        </w:rPr>
        <w:t>e</w:t>
      </w:r>
      <w:proofErr w:type="spellStart"/>
      <w:r w:rsidR="00694DF8">
        <w:rPr>
          <w:rFonts w:ascii="Arial" w:hAnsi="Arial"/>
        </w:rPr>
        <w:t>нтральном</w:t>
      </w:r>
      <w:proofErr w:type="spellEnd"/>
      <w:r w:rsidR="00694DF8">
        <w:rPr>
          <w:rFonts w:ascii="Arial" w:hAnsi="Arial"/>
        </w:rPr>
        <w:t>/</w:t>
      </w:r>
      <w:r>
        <w:rPr>
          <w:rFonts w:ascii="Arial" w:hAnsi="Arial"/>
        </w:rPr>
        <w:t>региональном уровн</w:t>
      </w:r>
      <w:r w:rsidR="00694DF8">
        <w:rPr>
          <w:rFonts w:ascii="Arial" w:hAnsi="Arial"/>
        </w:rPr>
        <w:t>ях</w:t>
      </w:r>
      <w:r>
        <w:rPr>
          <w:rFonts w:ascii="Arial" w:hAnsi="Arial"/>
        </w:rPr>
        <w:t xml:space="preserve"> с участием местных органов государственного управления и соответствующих партнеров, включая </w:t>
      </w:r>
      <w:r w:rsidR="00694DF8">
        <w:rPr>
          <w:rFonts w:ascii="Arial" w:hAnsi="Arial"/>
        </w:rPr>
        <w:t xml:space="preserve">представителей </w:t>
      </w:r>
      <w:r w:rsidR="001B3AEF">
        <w:rPr>
          <w:rFonts w:ascii="Arial" w:hAnsi="Arial"/>
        </w:rPr>
        <w:t>бизнеса</w:t>
      </w:r>
      <w:r>
        <w:rPr>
          <w:rFonts w:ascii="Arial" w:hAnsi="Arial"/>
        </w:rPr>
        <w:t xml:space="preserve">, которые будут сосредоточены на подходах к реализации Стратегии по борьбе с ТБ, таких как обеспечение лечения, ориентированного на пациентов, с использованием, главным образом, модели амбулаторного ведения случаев ТБ и ЛУ-ТБ, создание функциональных местных коалиций для борьбы с ТБ, а также мобилизация дополнительных и альтернативных источников финансирования для приоритетных мер по борьбе с ТБ.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При взаимодействии с региональным проектом</w:t>
      </w:r>
      <w:r w:rsidR="00657DF8">
        <w:rPr>
          <w:rFonts w:ascii="Arial" w:hAnsi="Arial"/>
        </w:rPr>
        <w:t xml:space="preserve"> ГФ</w:t>
      </w:r>
      <w:r>
        <w:rPr>
          <w:rFonts w:ascii="Arial" w:hAnsi="Arial"/>
        </w:rPr>
        <w:t xml:space="preserve"> по борьбе с ТБ («TB-REP 2.0») будет оказано содействие в развитии компетенции региональных (областных) менеджеров НПТ путем проведения обучения в области управленческих и технических аспектов, связанных с институционализацией новых механизмов оплаты за услуги по диагностике и лечению ТБ. Учебные семинары будут проводиться в рамках технической помощи по проекту TB-REP 2.0 в 2019 году, которая будет оказана для поддержки (i) пересмотра механизмов оплаты за услуги поставщиков в целях повышения эффективности и содействия оказанию медицинской помощи при ТБ, ориентированной на пациентов; и (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>) разработки и внедрения механизма стимулирования в целях совершенствования процессов найма и удержания персонала противотуберкулезной службы (врачей, медсестер и лабораторного персонала).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Данное проектное предложение предусматривает три задания по оказанию внешней технической помощи при оценке трех ключевых мероприятий по укреплению системы </w:t>
      </w:r>
      <w:r>
        <w:rPr>
          <w:rFonts w:ascii="Arial" w:hAnsi="Arial"/>
        </w:rPr>
        <w:lastRenderedPageBreak/>
        <w:t>здравоохранения, направленных на повышение эффективности системы по борьбе с туберкулезом, которые были инициированы в рамках текущего проекта</w:t>
      </w:r>
      <w:r w:rsidR="00657DF8">
        <w:rPr>
          <w:rFonts w:ascii="Arial" w:hAnsi="Arial"/>
        </w:rPr>
        <w:t xml:space="preserve"> ГФ</w:t>
      </w:r>
      <w:r>
        <w:rPr>
          <w:rFonts w:ascii="Arial" w:hAnsi="Arial"/>
        </w:rPr>
        <w:t xml:space="preserve"> в трех пилотных регионах (</w:t>
      </w:r>
      <w:proofErr w:type="spellStart"/>
      <w:r>
        <w:rPr>
          <w:rFonts w:ascii="Arial" w:hAnsi="Arial"/>
        </w:rPr>
        <w:t>Акмолинской</w:t>
      </w:r>
      <w:proofErr w:type="spellEnd"/>
      <w:r>
        <w:rPr>
          <w:rFonts w:ascii="Arial" w:hAnsi="Arial"/>
        </w:rPr>
        <w:t>, Актюбинской и Восточно-Казахстанской областях): (i) внедрение модели оказания амбулаторной медицинской помощи при ТБ (включая случаи ЛУ-ТБ и случаи заболевания среди детей); (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) оказание расширенной поддержки пациентам и наблюдения для улучшения </w:t>
      </w:r>
      <w:r w:rsidR="00694DF8">
        <w:rPr>
          <w:rFonts w:ascii="Arial" w:hAnsi="Arial"/>
        </w:rPr>
        <w:t>приверженности</w:t>
      </w:r>
      <w:r>
        <w:rPr>
          <w:rFonts w:ascii="Arial" w:hAnsi="Arial"/>
        </w:rPr>
        <w:t xml:space="preserve"> лечения ЛУ-ТБ; и (</w:t>
      </w: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>) оптимизация практики госпитализации среди больных ТБ и ЛУ-ТБ. Цель всех этих заданий заключается в оценке прогресса реализации и сопутствующих проблем, а также в предоставлении данных для принятия взвешенных решений касательно применения накопленного опыта в других регионах страны. На основе оценки госпитализации будет разработан национальный план поэтапной оптимизации больничной инфраструктуры на 2021–2025 годы, а его реализация будет дополнительно поддерживаться в рамках проекта путем проведения обучения областных руководителей органов здравоохранения в сфере реализации этого плана</w:t>
      </w:r>
      <w:r w:rsidR="00187F98">
        <w:rPr>
          <w:rFonts w:ascii="Arial" w:hAnsi="Arial"/>
        </w:rPr>
        <w:t>,</w:t>
      </w:r>
      <w:r>
        <w:rPr>
          <w:rFonts w:ascii="Arial" w:hAnsi="Arial"/>
        </w:rPr>
        <w:t xml:space="preserve"> улучшения показателей работы противотуберкулезных больниц и укрепления связей между различными уровнями обслуживания пациентов и непрерывным циклом оказания медицинской помощи.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соответствии с </w:t>
      </w:r>
      <w:r>
        <w:rPr>
          <w:rFonts w:ascii="Arial" w:hAnsi="Arial"/>
          <w:i/>
        </w:rPr>
        <w:t>Государственной программой «Цифровой Казахстан»</w:t>
      </w:r>
      <w:r w:rsidRPr="009527D4">
        <w:rPr>
          <w:rStyle w:val="FootnoteReference"/>
        </w:rPr>
        <w:footnoteReference w:id="9"/>
      </w:r>
      <w:r>
        <w:rPr>
          <w:rFonts w:ascii="Arial" w:hAnsi="Arial"/>
        </w:rPr>
        <w:t xml:space="preserve"> и приоритетными направлениями деятельности Министерства здравоохранения по внедрению цифровых инструментов и систем в секторе здравоохранения, в заявке предусмотрена поддержка развития Центра клинического кураторства и повышения квалификации при ННЦФ. </w:t>
      </w:r>
      <w:r w:rsidR="00736BEA">
        <w:rPr>
          <w:rFonts w:ascii="Arial" w:hAnsi="Arial"/>
        </w:rPr>
        <w:t>ННЦФ</w:t>
      </w:r>
      <w:r w:rsidR="00736BEA" w:rsidRPr="00736BEA">
        <w:rPr>
          <w:rFonts w:ascii="Arial" w:hAnsi="Arial"/>
        </w:rPr>
        <w:t xml:space="preserve"> несет ответственность за разработку и сертификацию соответствующих программ дистанционного обучения для программ последипломного медицинского образования.</w:t>
      </w:r>
      <w:r w:rsidR="00736B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Центр будет заниматься проведением дистанционного обучения </w:t>
      </w:r>
      <w:r w:rsidR="00C213BE">
        <w:rPr>
          <w:rFonts w:ascii="Arial" w:hAnsi="Arial"/>
        </w:rPr>
        <w:t>в области</w:t>
      </w:r>
      <w:r>
        <w:rPr>
          <w:rFonts w:ascii="Arial" w:hAnsi="Arial"/>
        </w:rPr>
        <w:t xml:space="preserve"> клиническо</w:t>
      </w:r>
      <w:r w:rsidR="00C213BE">
        <w:rPr>
          <w:rFonts w:ascii="Arial" w:hAnsi="Arial"/>
        </w:rPr>
        <w:t xml:space="preserve">го </w:t>
      </w:r>
      <w:r>
        <w:rPr>
          <w:rFonts w:ascii="Arial" w:hAnsi="Arial"/>
        </w:rPr>
        <w:t>контрол</w:t>
      </w:r>
      <w:r w:rsidR="00C213BE">
        <w:rPr>
          <w:rFonts w:ascii="Arial" w:hAnsi="Arial"/>
        </w:rPr>
        <w:t>я</w:t>
      </w:r>
      <w:r>
        <w:rPr>
          <w:rFonts w:ascii="Arial" w:hAnsi="Arial"/>
        </w:rPr>
        <w:t xml:space="preserve"> туберкулеза и заболеваний легких для различных категорий медицинских работников, включая </w:t>
      </w:r>
      <w:r w:rsidR="00694DF8">
        <w:rPr>
          <w:rFonts w:ascii="Arial" w:hAnsi="Arial"/>
        </w:rPr>
        <w:t>постдипломное обучение</w:t>
      </w:r>
      <w:r>
        <w:rPr>
          <w:rFonts w:ascii="Arial" w:hAnsi="Arial"/>
        </w:rPr>
        <w:t>. Заявка также предусматривает ограниченную поддержку участия ключевых сотрудников НПТ в международных конференциях и встречах за рубежом.</w:t>
      </w:r>
    </w:p>
    <w:p w:rsidR="003F2160" w:rsidRPr="009527D4" w:rsidRDefault="00694DF8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1.2. Качество программы и данных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Модуль: ЖУССЗ - Информационные системы по управлению здравоохранением</w:t>
      </w:r>
      <w:r w:rsidR="001110B5">
        <w:rPr>
          <w:rFonts w:ascii="Arial" w:hAnsi="Arial"/>
          <w:i/>
        </w:rPr>
        <w:t>, мониторингу и оценке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Проект предусматривает визиты </w:t>
      </w:r>
      <w:r w:rsidR="00E47185">
        <w:rPr>
          <w:rFonts w:ascii="Arial" w:hAnsi="Arial"/>
        </w:rPr>
        <w:t xml:space="preserve">для осуществления надзора/мониторинга и оценки </w:t>
      </w:r>
      <w:r>
        <w:rPr>
          <w:rFonts w:ascii="Arial" w:hAnsi="Arial"/>
        </w:rPr>
        <w:t xml:space="preserve">со стороны центрального отделения НПТ (ННЦФ)/Основного реципиента в регионы </w:t>
      </w:r>
      <w:r w:rsidR="00E47185">
        <w:rPr>
          <w:rFonts w:ascii="Arial" w:hAnsi="Arial"/>
        </w:rPr>
        <w:t xml:space="preserve">в целях </w:t>
      </w:r>
      <w:r>
        <w:rPr>
          <w:rFonts w:ascii="Arial" w:hAnsi="Arial"/>
        </w:rPr>
        <w:t xml:space="preserve">наблюдения за реализацией программы, включая инновационные процедуры лечения ЛУ-ТБ. Визиты в каждую из 14 областей и в каждый из 3 городов (Астана, Алматы и Шымкент) будут осуществляться один раз в год в течение первых двух лет; дополнительные визиты, включая надзор в областях, будут осуществляться за счет внутренних источников. Поддержка в проведении совещаний по координации программы будет оказана в течение первых двух лет на уровне ННЦФ в целях обсуждения хода реализации и планирования мер по решению выявленных проблем.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Для ведения обновленного электронного национального регистра по ТБ будет привлечен национальный консультант (поддержка ГФ потребуется в течение первых двух лет нового гранта).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Заявка предусматривает оказание поддержки в проведении шести </w:t>
      </w:r>
      <w:r w:rsidR="00D35B48">
        <w:rPr>
          <w:rFonts w:ascii="Arial" w:hAnsi="Arial"/>
        </w:rPr>
        <w:t>опера</w:t>
      </w:r>
      <w:r w:rsidR="00694DF8">
        <w:rPr>
          <w:rFonts w:ascii="Arial" w:hAnsi="Arial"/>
        </w:rPr>
        <w:t>ционных</w:t>
      </w:r>
      <w:r>
        <w:rPr>
          <w:rFonts w:ascii="Arial" w:hAnsi="Arial"/>
        </w:rPr>
        <w:t xml:space="preserve"> исследований (ОИ) в приоритетных областях программы, связанных с выявлением и лечением случаев ЛУ-ТБ, а также с проведением мероприятий в группах риска. Операционные исследования будут проводиться в следующих областях: 1) Схемы направления и задержки в предоставлении услуг по диагностике и лечению ЛУ-ТБ; 2) Исследование устойчивости к противотуберкулезным препаратам </w:t>
      </w:r>
      <w:r w:rsidR="00AA0737">
        <w:rPr>
          <w:rFonts w:ascii="Arial" w:hAnsi="Arial"/>
        </w:rPr>
        <w:t>второго ряда</w:t>
      </w:r>
      <w:r>
        <w:rPr>
          <w:rFonts w:ascii="Arial" w:hAnsi="Arial"/>
        </w:rPr>
        <w:t xml:space="preserve"> у </w:t>
      </w:r>
      <w:r>
        <w:rPr>
          <w:rFonts w:ascii="Arial" w:hAnsi="Arial"/>
        </w:rPr>
        <w:lastRenderedPageBreak/>
        <w:t xml:space="preserve">пациентов с РУ/МЛУ-ТБ; 3) Эффективность и результативность применения метода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 на районном уровне; 4) Назначение модифицированных, более коротких схем лечения РУ/МЛУ-ТБ при отсутствии устойчивости к препаратам </w:t>
      </w:r>
      <w:r w:rsidR="00AA0737">
        <w:rPr>
          <w:rFonts w:ascii="Arial" w:hAnsi="Arial"/>
        </w:rPr>
        <w:t>второго ряда</w:t>
      </w:r>
      <w:r>
        <w:rPr>
          <w:rFonts w:ascii="Arial" w:hAnsi="Arial"/>
        </w:rPr>
        <w:t xml:space="preserve">; 5) скрининг ТБ и профилактическое лечение латентной ТБ инфекции среди лиц, контактирующих с больными ЛУ-ТБ; и 6) Выявление случаев активного ТБ и ЛУ-ТБ и профилактическое лечение в группах риска. Исследования будут проводиться Национальным научным центром </w:t>
      </w:r>
      <w:proofErr w:type="spellStart"/>
      <w:r>
        <w:rPr>
          <w:rFonts w:ascii="Arial" w:hAnsi="Arial"/>
        </w:rPr>
        <w:t>фтизиопульмонологии</w:t>
      </w:r>
      <w:proofErr w:type="spellEnd"/>
      <w:r>
        <w:rPr>
          <w:rFonts w:ascii="Arial" w:hAnsi="Arial"/>
        </w:rPr>
        <w:t xml:space="preserve"> совместно с Кафедрой </w:t>
      </w:r>
      <w:proofErr w:type="spellStart"/>
      <w:r>
        <w:rPr>
          <w:rFonts w:ascii="Arial" w:hAnsi="Arial"/>
        </w:rPr>
        <w:t>фтизиопульмонологии</w:t>
      </w:r>
      <w:proofErr w:type="spellEnd"/>
      <w:r>
        <w:rPr>
          <w:rFonts w:ascii="Arial" w:hAnsi="Arial"/>
        </w:rPr>
        <w:t xml:space="preserve"> Национального медицинского университета им. С. </w:t>
      </w:r>
      <w:proofErr w:type="spellStart"/>
      <w:r>
        <w:rPr>
          <w:rFonts w:ascii="Arial" w:hAnsi="Arial"/>
        </w:rPr>
        <w:t>Асфендярова</w:t>
      </w:r>
      <w:proofErr w:type="spellEnd"/>
      <w:r>
        <w:rPr>
          <w:rFonts w:ascii="Arial" w:hAnsi="Arial"/>
        </w:rPr>
        <w:t xml:space="preserve"> и другими партнерами. На основании результатов исследований будут приняты решения НПТ в области лечения ЛУ-ТБ и удовлетворения потребностей уязвимых и социально-неблагополучных категорий населения в соответствии с новым руководством ВОЗ и с учетом </w:t>
      </w:r>
      <w:proofErr w:type="spellStart"/>
      <w:r>
        <w:rPr>
          <w:rFonts w:ascii="Arial" w:hAnsi="Arial"/>
        </w:rPr>
        <w:t>странового</w:t>
      </w:r>
      <w:proofErr w:type="spellEnd"/>
      <w:r>
        <w:rPr>
          <w:rFonts w:ascii="Arial" w:hAnsi="Arial"/>
        </w:rPr>
        <w:t xml:space="preserve"> контекста, включая процессы перехода </w:t>
      </w:r>
      <w:r w:rsidR="0054550D">
        <w:rPr>
          <w:rFonts w:ascii="Arial" w:hAnsi="Arial"/>
        </w:rPr>
        <w:t>от финансирования</w:t>
      </w:r>
      <w:r>
        <w:rPr>
          <w:rFonts w:ascii="Arial" w:hAnsi="Arial"/>
        </w:rPr>
        <w:t xml:space="preserve"> Глобального фонда.</w:t>
      </w:r>
    </w:p>
    <w:p w:rsidR="003F2160" w:rsidRDefault="003F2160" w:rsidP="003F2160"/>
    <w:p w:rsidR="003F2160" w:rsidRPr="006711BE" w:rsidRDefault="0054550D" w:rsidP="003F2160">
      <w:pPr>
        <w:spacing w:after="120" w:line="240" w:lineRule="auto"/>
        <w:ind w:left="1440" w:hanging="14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Задача</w:t>
      </w:r>
      <w:r w:rsidR="003F2160" w:rsidRPr="006711BE">
        <w:rPr>
          <w:rFonts w:ascii="Arial" w:hAnsi="Arial"/>
          <w:b/>
        </w:rPr>
        <w:t xml:space="preserve"> 2.</w:t>
      </w:r>
      <w:r w:rsidR="003F2160" w:rsidRPr="006711BE">
        <w:rPr>
          <w:rFonts w:ascii="Arial" w:hAnsi="Arial"/>
          <w:b/>
        </w:rPr>
        <w:tab/>
        <w:t>Поддержание всеобщего доступа к качественным и ориентированным на пациентов диагностике, лечению и профилактике ЛУ-ТБ.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рамках данной </w:t>
      </w:r>
      <w:r w:rsidR="0054550D">
        <w:rPr>
          <w:rFonts w:ascii="Arial" w:hAnsi="Arial"/>
        </w:rPr>
        <w:t>Задачи</w:t>
      </w:r>
      <w:r>
        <w:rPr>
          <w:rFonts w:ascii="Arial" w:hAnsi="Arial"/>
        </w:rPr>
        <w:t xml:space="preserve"> запрашивается целевая поддержка для приведения услуг по диагностике и лечению ЛУ-ТБ в соответствие с современными международными политиками и практиками, в частности, с новыми рекомендациями ВОЗ по лечению ЛУ-ТБ, а также в соответствие с потребностями уязвимых групп населения с учетом перехода и устойчивости. Особое внимание уделяется применению успешного опыта в предоставлении людям и сообществам возможности получать доступную и высококачественную помощь при ТБ посредством образования более широких коалиций в целях борьбы с ТБ и активного участия гражданского общества/неправительственных организаций. </w:t>
      </w:r>
    </w:p>
    <w:p w:rsidR="003F2160" w:rsidRPr="009527D4" w:rsidRDefault="002F1D31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2.1. </w:t>
      </w:r>
      <w:r>
        <w:rPr>
          <w:rFonts w:ascii="Arial" w:hAnsi="Arial"/>
          <w:u w:val="single"/>
        </w:rPr>
        <w:t>Выявл</w:t>
      </w:r>
      <w:r w:rsidR="003F2160">
        <w:rPr>
          <w:rFonts w:ascii="Arial" w:hAnsi="Arial"/>
          <w:u w:val="single"/>
        </w:rPr>
        <w:t>ение и диагностика случаев: МЛУ-ТБ</w:t>
      </w:r>
    </w:p>
    <w:p w:rsidR="003F2160" w:rsidRPr="009527D4" w:rsidRDefault="002F1D31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Модуль: </w:t>
      </w:r>
      <w:r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 xml:space="preserve"> Туберкулез с множественной лекарственной устойчивостью (МЛУ-ТБ)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Данное проектное предложение предусматривает закупку </w:t>
      </w:r>
      <w:r w:rsidRPr="007D0CDF">
        <w:rPr>
          <w:rFonts w:ascii="Arial" w:hAnsi="Arial"/>
        </w:rPr>
        <w:t>25 инструментов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 для районных отделений по борьбе с ТБ, благодаря чему будет обеспечено полное покрытие потребностей страны в быстром молекулярном тестировании на ТБ и ЛУ-ТБ к концу 2020 года. Закупка этих инструментов будет осуществляться в соответствии с планом НПТ по внедрению метода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, который включает поддержку </w:t>
      </w:r>
      <w:r w:rsidR="008702B8">
        <w:rPr>
          <w:rFonts w:ascii="Arial" w:hAnsi="Arial"/>
        </w:rPr>
        <w:t>из</w:t>
      </w:r>
      <w:r>
        <w:rPr>
          <w:rFonts w:ascii="Arial" w:hAnsi="Arial"/>
        </w:rPr>
        <w:t xml:space="preserve"> различных источников (ГФ, Агентство международного развития США и государственный бюджет) и основывается на подробной оценке потребностей в инструментах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 по регионам, проведенной НПТ </w:t>
      </w:r>
      <w:r w:rsidRPr="00FB30B7">
        <w:rPr>
          <w:rFonts w:ascii="Arial" w:hAnsi="Arial"/>
        </w:rPr>
        <w:t>в декабре 2018 года (прилагается к заявке).</w:t>
      </w:r>
      <w:r w:rsidRPr="00FB30B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Закупки будут осуществляться в течение первого года через Глобальный механизм по обеспечению лекарственными средствами Партнерства «Стоп ТБ». Комплект поставки включает</w:t>
      </w:r>
      <w:r w:rsidR="00B74BB9">
        <w:rPr>
          <w:rFonts w:ascii="Arial" w:hAnsi="Arial"/>
        </w:rPr>
        <w:t>:</w:t>
      </w:r>
      <w:r>
        <w:rPr>
          <w:rFonts w:ascii="Arial" w:hAnsi="Arial"/>
        </w:rPr>
        <w:t xml:space="preserve"> 2-модульны</w:t>
      </w:r>
      <w:r w:rsidR="00B74BB9">
        <w:rPr>
          <w:rFonts w:ascii="Arial" w:hAnsi="Arial"/>
        </w:rPr>
        <w:t>е</w:t>
      </w:r>
      <w:r>
        <w:rPr>
          <w:rFonts w:ascii="Arial" w:hAnsi="Arial"/>
        </w:rPr>
        <w:t xml:space="preserve"> </w:t>
      </w:r>
      <w:r w:rsidR="002F1D31">
        <w:rPr>
          <w:rFonts w:ascii="Arial" w:hAnsi="Arial"/>
        </w:rPr>
        <w:t>аппараты</w:t>
      </w:r>
      <w:r>
        <w:rPr>
          <w:rFonts w:ascii="Arial" w:hAnsi="Arial"/>
        </w:rPr>
        <w:t>, источники бесперебойного питания, стоимость доставки, гарантию на 3 года и комплекты для калибровки/поверки.</w:t>
      </w:r>
    </w:p>
    <w:p w:rsidR="001E5870" w:rsidRPr="001E5870" w:rsidRDefault="003F2160" w:rsidP="001E5870">
      <w:pPr>
        <w:spacing w:after="120" w:line="240" w:lineRule="auto"/>
        <w:jc w:val="both"/>
        <w:rPr>
          <w:rFonts w:ascii="Arial" w:hAnsi="Arial"/>
          <w:color w:val="00B050"/>
        </w:rPr>
      </w:pPr>
      <w:r>
        <w:rPr>
          <w:rFonts w:ascii="Arial" w:hAnsi="Arial"/>
        </w:rPr>
        <w:t xml:space="preserve">Для обеспечения надлежащего внедрения технологии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 на районном уровне в течение первых двух 2 лет реализации проекта будут задействованы два национальных консультанта в целях оказания поддержки при внедрении и функционировании технологии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в районах предоставления услуг по борьбе с ТБ, в пенитенциарной системе и в службе по борьбе с ВИЧ/СПИД, а также для наблюдения за внедрением нового диагностического алгоритма. Помимо привлечения внештатных консультантов, в течение первого года региональные (областные) </w:t>
      </w:r>
      <w:r w:rsidR="002F1D31">
        <w:rPr>
          <w:rFonts w:ascii="Arial" w:hAnsi="Arial"/>
        </w:rPr>
        <w:t>референс</w:t>
      </w:r>
      <w:r>
        <w:rPr>
          <w:rFonts w:ascii="Arial" w:hAnsi="Arial"/>
        </w:rPr>
        <w:t xml:space="preserve"> лаборатории будут посещать районы, где будут использоваться новые инструменты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>, для оказания поддержки местному персоналу при внедрении новой технологии.</w:t>
      </w:r>
      <w:r w:rsidR="001E5870" w:rsidRPr="001E5870">
        <w:rPr>
          <w:rFonts w:ascii="Arial" w:hAnsi="Arial"/>
          <w:color w:val="00B050"/>
        </w:rPr>
        <w:t xml:space="preserve"> </w:t>
      </w:r>
      <w:r w:rsidR="001E5870" w:rsidRPr="002F1D31">
        <w:rPr>
          <w:rFonts w:ascii="Arial" w:hAnsi="Arial"/>
        </w:rPr>
        <w:t xml:space="preserve">Дополнительно, </w:t>
      </w:r>
      <w:proofErr w:type="spellStart"/>
      <w:r w:rsidR="001E5870" w:rsidRPr="002F1D31">
        <w:rPr>
          <w:rFonts w:ascii="Arial" w:hAnsi="Arial"/>
        </w:rPr>
        <w:t>постгарантийное</w:t>
      </w:r>
      <w:proofErr w:type="spellEnd"/>
      <w:r w:rsidR="001E5870" w:rsidRPr="002F1D31">
        <w:rPr>
          <w:rFonts w:ascii="Arial" w:hAnsi="Arial"/>
        </w:rPr>
        <w:t xml:space="preserve"> сервисное обслуживание инструментов </w:t>
      </w:r>
      <w:proofErr w:type="spellStart"/>
      <w:r w:rsidR="001E5870" w:rsidRPr="002F1D31">
        <w:rPr>
          <w:rFonts w:ascii="Arial" w:hAnsi="Arial"/>
          <w:lang w:val="en-US"/>
        </w:rPr>
        <w:t>Xpert</w:t>
      </w:r>
      <w:proofErr w:type="spellEnd"/>
      <w:r w:rsidR="001E5870" w:rsidRPr="002F1D31">
        <w:rPr>
          <w:rFonts w:ascii="Arial" w:hAnsi="Arial"/>
        </w:rPr>
        <w:t xml:space="preserve"> </w:t>
      </w:r>
      <w:r w:rsidR="001E5870" w:rsidRPr="002F1D31">
        <w:rPr>
          <w:rFonts w:ascii="Arial" w:hAnsi="Arial"/>
        </w:rPr>
        <w:lastRenderedPageBreak/>
        <w:t xml:space="preserve">закупленных до 2017 года (23 аппарата с 88 модулями) включено в запрос на финансирование. Стандартный пакет GDF включает в себя затраты на калибровку инструментов </w:t>
      </w:r>
      <w:proofErr w:type="spellStart"/>
      <w:r w:rsidR="001E5870" w:rsidRPr="002F1D31">
        <w:rPr>
          <w:rFonts w:ascii="Arial" w:hAnsi="Arial"/>
        </w:rPr>
        <w:t>Xpert</w:t>
      </w:r>
      <w:proofErr w:type="spellEnd"/>
      <w:r w:rsidR="001E5870" w:rsidRPr="002F1D31">
        <w:rPr>
          <w:rFonts w:ascii="Arial" w:hAnsi="Arial"/>
        </w:rPr>
        <w:t xml:space="preserve">: калибровочные картриджи и замену модулей; и другое техническое обслуживание и мелкий ремонт приборов после истечения гарантийного срока. Кроме того, включены расходы местного дистрибутора в стране производителя </w:t>
      </w:r>
      <w:proofErr w:type="spellStart"/>
      <w:r w:rsidR="001E5870" w:rsidRPr="002F1D31">
        <w:rPr>
          <w:rFonts w:ascii="Arial" w:hAnsi="Arial"/>
          <w:lang w:val="en-US"/>
        </w:rPr>
        <w:t>Ceiphed</w:t>
      </w:r>
      <w:proofErr w:type="spellEnd"/>
      <w:r w:rsidR="001E5870" w:rsidRPr="002F1D31">
        <w:rPr>
          <w:rFonts w:ascii="Arial" w:hAnsi="Arial"/>
        </w:rPr>
        <w:t xml:space="preserve"> на посещения территорий для замены модулей, не покрываемых гарантийным пакетом GDF.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рамках проекта будет продолжена закупка расходных материалов для проведения быстрых лабораторных тестов для диагностики ТБ и ЛУ-ТБ, но в ограниченных масштабах - только для пенитенциарного сектора. Закупка картриджей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 для пенитенциарного сектора через ГФ полностью покроет потребности первых двух лет (2020–2021 гг.), при этом закупка за счет государственного бюджета начнет</w:t>
      </w:r>
      <w:r w:rsidR="00752D05">
        <w:rPr>
          <w:rFonts w:ascii="Arial" w:hAnsi="Arial"/>
        </w:rPr>
        <w:t>ся</w:t>
      </w:r>
      <w:r>
        <w:rPr>
          <w:rFonts w:ascii="Arial" w:hAnsi="Arial"/>
        </w:rPr>
        <w:t xml:space="preserve"> с 2022 года. Таким же образом, в рамках проекта ГФ будет осуществляться поставка расходных материалов для выделения штаммов в жидкой культуре и проведения ТЛЧ в отношении препаратов </w:t>
      </w:r>
      <w:r w:rsidR="00AA0737">
        <w:rPr>
          <w:rFonts w:ascii="Arial" w:hAnsi="Arial"/>
        </w:rPr>
        <w:t>первого и второго ряда</w:t>
      </w:r>
      <w:r>
        <w:rPr>
          <w:rFonts w:ascii="Arial" w:hAnsi="Arial"/>
        </w:rPr>
        <w:t xml:space="preserve"> с помощью автоматизированной </w:t>
      </w:r>
      <w:r w:rsidR="002F1D31">
        <w:rPr>
          <w:rFonts w:ascii="Arial" w:hAnsi="Arial"/>
        </w:rPr>
        <w:t xml:space="preserve">системы </w:t>
      </w:r>
      <w:r>
        <w:rPr>
          <w:rFonts w:ascii="Arial" w:hAnsi="Arial"/>
        </w:rPr>
        <w:t xml:space="preserve">Bactec-960, а также для выявления </w:t>
      </w:r>
      <w:proofErr w:type="spellStart"/>
      <w:r>
        <w:rPr>
          <w:rFonts w:ascii="Arial" w:hAnsi="Arial"/>
        </w:rPr>
        <w:t>M.Tb</w:t>
      </w:r>
      <w:proofErr w:type="spellEnd"/>
      <w:r>
        <w:rPr>
          <w:rFonts w:ascii="Arial" w:hAnsi="Arial"/>
        </w:rPr>
        <w:t xml:space="preserve"> и проведения ТЛЧ метод</w:t>
      </w:r>
      <w:r w:rsidR="002F1D31">
        <w:rPr>
          <w:rFonts w:ascii="Arial" w:hAnsi="Arial"/>
        </w:rPr>
        <w:t>ом</w:t>
      </w:r>
      <w:r>
        <w:rPr>
          <w:rFonts w:ascii="Arial" w:hAnsi="Arial"/>
        </w:rPr>
        <w:t xml:space="preserve"> </w:t>
      </w:r>
      <w:r w:rsidR="002F1D31">
        <w:rPr>
          <w:rFonts w:ascii="Arial" w:hAnsi="Arial"/>
          <w:lang w:val="en-US"/>
        </w:rPr>
        <w:t>HAIN</w:t>
      </w:r>
      <w:r>
        <w:rPr>
          <w:rFonts w:ascii="Arial" w:hAnsi="Arial"/>
        </w:rPr>
        <w:t xml:space="preserve"> в центральной тюремной бактериологической лаборатории в Караганде.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Кроме того, в соответствии с пересмотренными рекомендациями ВОЗ по лечению ЛУ-ТБ, в частности новым руководством по проведению ТЛЧ, предложение предусматривает закупку чистых веществ для ТЛЧ в отношении новых и перепрофилированных препаратов (таких как </w:t>
      </w:r>
      <w:proofErr w:type="spellStart"/>
      <w:r>
        <w:rPr>
          <w:rFonts w:ascii="Arial" w:hAnsi="Arial"/>
        </w:rPr>
        <w:t>моксифлоксацин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левофлоксацин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бедаквилин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линезолид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клофазимин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деламинид</w:t>
      </w:r>
      <w:proofErr w:type="spellEnd"/>
      <w:r>
        <w:rPr>
          <w:rFonts w:ascii="Arial" w:hAnsi="Arial"/>
        </w:rPr>
        <w:t xml:space="preserve">), которые будут проводиться </w:t>
      </w:r>
      <w:r w:rsidR="002F1D31">
        <w:rPr>
          <w:rFonts w:ascii="Arial" w:hAnsi="Arial"/>
        </w:rPr>
        <w:t>референс</w:t>
      </w:r>
      <w:r>
        <w:rPr>
          <w:rFonts w:ascii="Arial" w:hAnsi="Arial"/>
        </w:rPr>
        <w:t xml:space="preserve"> лабораториями с помощью </w:t>
      </w:r>
      <w:r w:rsidR="002F1D31">
        <w:rPr>
          <w:rFonts w:ascii="Arial" w:hAnsi="Arial"/>
        </w:rPr>
        <w:t>системы Bactec-960</w:t>
      </w:r>
      <w:r>
        <w:rPr>
          <w:rFonts w:ascii="Arial" w:hAnsi="Arial"/>
        </w:rPr>
        <w:t xml:space="preserve">. Поддержка со стороны ГФ полностью покроет потребности на уровне всей страны в первые два года (2020-2021 гг.), а Правительство примет на себя финансирование, начиная с 2022 года.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Предложение также предусматривает поддержку в подготовке местных инженеров для обеспечения надлежащей квалификации для проведения технического обслуживания и ремонта лабораторного оборудования в Национальной </w:t>
      </w:r>
      <w:r w:rsidR="002F1D31">
        <w:rPr>
          <w:rFonts w:ascii="Arial" w:hAnsi="Arial"/>
        </w:rPr>
        <w:t>референс</w:t>
      </w:r>
      <w:r>
        <w:rPr>
          <w:rFonts w:ascii="Arial" w:hAnsi="Arial"/>
        </w:rPr>
        <w:t xml:space="preserve"> лаборатории и областных лабораториях, включая шкафы биобезопасности (ШББ) и системы вентиляции с отрицательным давлением. В течение первых двух лет после получения гранта будет проведено обучение для четырех специалистов.</w:t>
      </w:r>
    </w:p>
    <w:p w:rsidR="003F2160" w:rsidRPr="009527D4" w:rsidRDefault="002F1D31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2.2. Лечение: МЛУ-ТБ</w:t>
      </w:r>
    </w:p>
    <w:p w:rsidR="003F2160" w:rsidRPr="009527D4" w:rsidRDefault="001E5870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Модуль: </w:t>
      </w:r>
      <w:r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 xml:space="preserve"> Туберкулез с множественной лекарственной устойчивостью (МЛУ-ТБ)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Закупка противотуберкулезных препаратов из источников ГФ будет осуществляться в уменьшающемся масштабе в соответствии с согласованными условиями принятия/перехода обязательств по финансированию. В рамках нового проекта будет осуществляться закупка препаратов </w:t>
      </w:r>
      <w:r w:rsidR="00AA0737">
        <w:rPr>
          <w:rFonts w:ascii="Arial" w:hAnsi="Arial"/>
        </w:rPr>
        <w:t>второго ряда</w:t>
      </w:r>
      <w:r>
        <w:rPr>
          <w:rFonts w:ascii="Arial" w:hAnsi="Arial"/>
        </w:rPr>
        <w:t xml:space="preserve"> для лечения пациентов с РУ/МЛУ-ТБ только в пенитенциарном секторе. В отношении случаев РУ/МЛУ-ТБ без устойчивости к </w:t>
      </w:r>
      <w:proofErr w:type="spellStart"/>
      <w:r>
        <w:rPr>
          <w:rFonts w:ascii="Arial" w:hAnsi="Arial"/>
        </w:rPr>
        <w:t>фторхинолонам</w:t>
      </w:r>
      <w:proofErr w:type="spellEnd"/>
      <w:r>
        <w:rPr>
          <w:rFonts w:ascii="Arial" w:hAnsi="Arial"/>
        </w:rPr>
        <w:t xml:space="preserve"> (ФХ) ГФ покроет все потребности в тюрьмах в течение первого года реализации проекта (2020 г.), а в отношении случаев с выявленной </w:t>
      </w:r>
      <w:r w:rsidR="001E5870">
        <w:rPr>
          <w:rFonts w:ascii="Arial" w:hAnsi="Arial"/>
        </w:rPr>
        <w:t>устойчивостью к ФХ (случаи «пре</w:t>
      </w:r>
      <w:r>
        <w:rPr>
          <w:rFonts w:ascii="Arial" w:hAnsi="Arial"/>
        </w:rPr>
        <w:t xml:space="preserve">-ШЛУ» и «ШЛУ») будут покрыты </w:t>
      </w:r>
      <w:r w:rsidR="001E5870">
        <w:rPr>
          <w:rFonts w:ascii="Arial" w:hAnsi="Arial"/>
        </w:rPr>
        <w:t xml:space="preserve">100% первого года (2020) и 50% </w:t>
      </w:r>
      <w:r>
        <w:rPr>
          <w:rFonts w:ascii="Arial" w:hAnsi="Arial"/>
        </w:rPr>
        <w:t xml:space="preserve">потребности </w:t>
      </w:r>
      <w:r w:rsidR="001E5870">
        <w:rPr>
          <w:rFonts w:ascii="Arial" w:hAnsi="Arial"/>
        </w:rPr>
        <w:t>2021 года</w:t>
      </w:r>
      <w:r>
        <w:rPr>
          <w:rFonts w:ascii="Arial" w:hAnsi="Arial"/>
        </w:rPr>
        <w:t xml:space="preserve">. Предполагается, </w:t>
      </w:r>
      <w:r w:rsidR="00E27355">
        <w:rPr>
          <w:rFonts w:ascii="Arial" w:hAnsi="Arial"/>
        </w:rPr>
        <w:t xml:space="preserve">что </w:t>
      </w:r>
      <w:r w:rsidR="001E5870">
        <w:rPr>
          <w:rFonts w:ascii="Arial" w:hAnsi="Arial"/>
        </w:rPr>
        <w:t xml:space="preserve">будут </w:t>
      </w:r>
      <w:r>
        <w:rPr>
          <w:rFonts w:ascii="Arial" w:hAnsi="Arial"/>
        </w:rPr>
        <w:t>обеспечен</w:t>
      </w:r>
      <w:r w:rsidR="001E5870">
        <w:rPr>
          <w:rFonts w:ascii="Arial" w:hAnsi="Arial"/>
        </w:rPr>
        <w:t xml:space="preserve">ы </w:t>
      </w:r>
      <w:r>
        <w:rPr>
          <w:rFonts w:ascii="Arial" w:hAnsi="Arial"/>
        </w:rPr>
        <w:t>препаратами через ГФ в общей сложности 3</w:t>
      </w:r>
      <w:r w:rsidR="001E5870">
        <w:rPr>
          <w:rFonts w:ascii="Arial" w:hAnsi="Arial"/>
        </w:rPr>
        <w:t>40</w:t>
      </w:r>
      <w:r>
        <w:rPr>
          <w:rFonts w:ascii="Arial" w:hAnsi="Arial"/>
        </w:rPr>
        <w:t xml:space="preserve"> пациента-заключенных двух вышеупомянутых категорий. Схемы лечения соответствуют новым рекомендациям ВОЗ. Подробные расчеты числа включенных в проект пациентов, лекарственных </w:t>
      </w:r>
      <w:r w:rsidR="00E27355">
        <w:rPr>
          <w:rFonts w:ascii="Arial" w:hAnsi="Arial"/>
        </w:rPr>
        <w:t xml:space="preserve">схем </w:t>
      </w:r>
      <w:r>
        <w:rPr>
          <w:rFonts w:ascii="Arial" w:hAnsi="Arial"/>
        </w:rPr>
        <w:t xml:space="preserve">и </w:t>
      </w:r>
      <w:r w:rsidR="00E27355">
        <w:rPr>
          <w:rFonts w:ascii="Arial" w:hAnsi="Arial"/>
        </w:rPr>
        <w:t>стоимости</w:t>
      </w:r>
      <w:r>
        <w:rPr>
          <w:rFonts w:ascii="Arial" w:hAnsi="Arial"/>
        </w:rPr>
        <w:t xml:space="preserve"> представлены в подробном рабочем плане и бюджете. Ежегодные выплаты Комитету зеленого света (КЗС) включены в бюджет в соответствии с соглашением ГФ/ВОЗ и требованиями ГФ, предъявляемыми к кандидатам.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целях обеспечения надлежащей поддержки при реализации пересмотренного руководства по лечению ЛУ-ТБ, в рамках проекта будет предоставлена поддержка в организации учебных курсов для руководителей </w:t>
      </w:r>
      <w:r w:rsidR="00E27355">
        <w:rPr>
          <w:rFonts w:ascii="Arial" w:hAnsi="Arial"/>
        </w:rPr>
        <w:t>противотуберкулезных учреждений</w:t>
      </w:r>
      <w:r>
        <w:rPr>
          <w:rFonts w:ascii="Arial" w:hAnsi="Arial"/>
        </w:rPr>
        <w:t xml:space="preserve"> и </w:t>
      </w:r>
      <w:r w:rsidR="00E27355">
        <w:rPr>
          <w:rFonts w:ascii="Arial" w:hAnsi="Arial"/>
        </w:rPr>
        <w:lastRenderedPageBreak/>
        <w:t>ПМСП</w:t>
      </w:r>
      <w:r>
        <w:rPr>
          <w:rFonts w:ascii="Arial" w:hAnsi="Arial"/>
        </w:rPr>
        <w:t xml:space="preserve">, включая пенитенциарную систему. В течение срока действия гранта будет проведено </w:t>
      </w:r>
      <w:r w:rsidR="003D5C16">
        <w:rPr>
          <w:rFonts w:ascii="Arial" w:hAnsi="Arial"/>
        </w:rPr>
        <w:t>в общей сложности</w:t>
      </w:r>
      <w:r>
        <w:rPr>
          <w:rFonts w:ascii="Arial" w:hAnsi="Arial"/>
        </w:rPr>
        <w:t xml:space="preserve"> шесть обучающих курсов.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В рамках проекта предусмотрена поддержка целевых мероприятий по усилению фармакологического надзора и активного мониторинга безопасности лекарств (</w:t>
      </w:r>
      <w:proofErr w:type="spellStart"/>
      <w:r>
        <w:rPr>
          <w:rFonts w:ascii="Arial" w:hAnsi="Arial"/>
        </w:rPr>
        <w:t>аМБЛ</w:t>
      </w:r>
      <w:proofErr w:type="spellEnd"/>
      <w:r>
        <w:rPr>
          <w:rFonts w:ascii="Arial" w:hAnsi="Arial"/>
        </w:rPr>
        <w:t xml:space="preserve">) во время лечения РУ/МЛУ-ТБ. Для этой цели будет привлечена ИТ-компания для обновления модуля </w:t>
      </w:r>
      <w:proofErr w:type="spellStart"/>
      <w:r>
        <w:rPr>
          <w:rFonts w:ascii="Arial" w:hAnsi="Arial"/>
        </w:rPr>
        <w:t>аМБЛ</w:t>
      </w:r>
      <w:proofErr w:type="spellEnd"/>
      <w:r>
        <w:rPr>
          <w:rFonts w:ascii="Arial" w:hAnsi="Arial"/>
        </w:rPr>
        <w:t xml:space="preserve"> Национального реестра ТБ, а также национальный консультант для оказания помощи НПТ в управлении лекарственными средствами с упором на фармакологический надзор и </w:t>
      </w:r>
      <w:proofErr w:type="spellStart"/>
      <w:r>
        <w:rPr>
          <w:rFonts w:ascii="Arial" w:hAnsi="Arial"/>
        </w:rPr>
        <w:t>аМБЛ</w:t>
      </w:r>
      <w:proofErr w:type="spellEnd"/>
      <w:r>
        <w:rPr>
          <w:rFonts w:ascii="Arial" w:hAnsi="Arial"/>
        </w:rPr>
        <w:t xml:space="preserve"> в условиях перехода на новые рекомендуемые схемы лечения ЛУ-ТБ. ННЦФ организует курсы по обучению инструкторов из числа региональных (областных) сотрудников НПТ процессам </w:t>
      </w:r>
      <w:proofErr w:type="spellStart"/>
      <w:r>
        <w:rPr>
          <w:rFonts w:ascii="Arial" w:hAnsi="Arial"/>
        </w:rPr>
        <w:t>аМБЛ</w:t>
      </w:r>
      <w:proofErr w:type="spellEnd"/>
      <w:r>
        <w:rPr>
          <w:rFonts w:ascii="Arial" w:hAnsi="Arial"/>
        </w:rPr>
        <w:t xml:space="preserve"> и использованию обновленного модуля </w:t>
      </w:r>
      <w:proofErr w:type="spellStart"/>
      <w:r>
        <w:rPr>
          <w:rFonts w:ascii="Arial" w:hAnsi="Arial"/>
        </w:rPr>
        <w:t>аМБЛ</w:t>
      </w:r>
      <w:proofErr w:type="spellEnd"/>
      <w:r>
        <w:rPr>
          <w:rFonts w:ascii="Arial" w:hAnsi="Arial"/>
        </w:rPr>
        <w:t>, которые в последующем будут проводить каскадное обучение для поставщиков услуг по лечению ТБ и операторов баз данных в соответствующих регионах. В течение 3-го и 5-го кварталов реализации проекта будет проведено четыре курса по обучению инструкторов.</w:t>
      </w:r>
      <w:r>
        <w:rPr>
          <w:rFonts w:ascii="Arial" w:hAnsi="Arial"/>
        </w:rPr>
        <w:tab/>
      </w:r>
    </w:p>
    <w:p w:rsidR="003F2160" w:rsidRPr="009527D4" w:rsidRDefault="00E27355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2.3. Предоставление медицинской помощи на местном уровне: МЛУ-ТБ</w:t>
      </w:r>
    </w:p>
    <w:p w:rsidR="003F2160" w:rsidRPr="009527D4" w:rsidRDefault="00E27355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Модуль: </w:t>
      </w:r>
      <w:r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 xml:space="preserve"> Туберкулез с множественной лекарственной устойчивостью (МЛУ-ТБ)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рамках данной </w:t>
      </w:r>
      <w:r w:rsidR="00E27355">
        <w:rPr>
          <w:rFonts w:ascii="Arial" w:hAnsi="Arial"/>
        </w:rPr>
        <w:t>интервенции</w:t>
      </w:r>
      <w:r>
        <w:rPr>
          <w:rFonts w:ascii="Arial" w:hAnsi="Arial"/>
        </w:rPr>
        <w:t xml:space="preserve"> предложение предусматривает поддержку приоритетных мероприятий, направленных на расширение участия общественных организаций, учреждений и других негосударственных субъектов в комплексных ответных реакциях на ТБ и ЛУ-ТБ на уровне сообщества. Эти мероприятия заключаются в формировании подходов, ориентированных на пациентов, и предполагают активное участие пациентов и населения в принятии решений, мониторинге качества обслуживания и продвижении прав пациентов. Эти мероприятия были разработаны с учетом полученных знаний и успешного опыта, накопленного за текущий период реализации проекта.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Платформа Национального партнерства «Стоп ТБ» (НПСТБ) в Казахстане, созданная в рамках текущего гранта ГФ по борьбе с ТБ, получит дополнительную поддержку путем организации обменных визитов в отдельные страны региона, в которых действуют национальные партнерства и/или внедряются другие передовые практики, связанные с общественными организациями и участием гражданского сообщества (2 визита в течение первых двух лет). Для расширения сферы действия и возможностей НПСТБ и партнеров будет привлечен внешний консультант для оказания технической помощи п</w:t>
      </w:r>
      <w:r w:rsidR="00E27355">
        <w:rPr>
          <w:rFonts w:ascii="Arial" w:hAnsi="Arial"/>
        </w:rPr>
        <w:t>о</w:t>
      </w:r>
      <w:r>
        <w:rPr>
          <w:rFonts w:ascii="Arial" w:hAnsi="Arial"/>
        </w:rPr>
        <w:t xml:space="preserve"> заключени</w:t>
      </w:r>
      <w:r w:rsidR="00E27355">
        <w:rPr>
          <w:rFonts w:ascii="Arial" w:hAnsi="Arial"/>
        </w:rPr>
        <w:t>ю</w:t>
      </w:r>
      <w:r>
        <w:rPr>
          <w:rFonts w:ascii="Arial" w:hAnsi="Arial"/>
        </w:rPr>
        <w:t xml:space="preserve"> социальных контрактов с НПО за счет государственных средств (через местные бюджеты); данное задание будет включать задачу по определению затрат, связанных с предоставлением услуг НПО, что будет способствовать согласованности процессов заключения контрактов.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НПСТБ Казахстана возьмет на себя управление запуском информационно-</w:t>
      </w:r>
      <w:proofErr w:type="spellStart"/>
      <w:r w:rsidR="00E27355">
        <w:rPr>
          <w:rFonts w:ascii="Arial" w:hAnsi="Arial"/>
        </w:rPr>
        <w:t>адвокационн</w:t>
      </w:r>
      <w:r>
        <w:rPr>
          <w:rFonts w:ascii="Arial" w:hAnsi="Arial"/>
        </w:rPr>
        <w:t>ой</w:t>
      </w:r>
      <w:proofErr w:type="spellEnd"/>
      <w:r>
        <w:rPr>
          <w:rFonts w:ascii="Arial" w:hAnsi="Arial"/>
        </w:rPr>
        <w:t xml:space="preserve"> / коммуникационной кампании, направленной на повышение осведомленности и принятие ответных мер против туберкулеза на уровне сообществ путем увеличения числа заключаемых социальных контрактов и обеспечения устойчивости и подотчетности. С этой целью в рамках проекта будет оказана поддержка при проведении информационно-просветительских встреч с ключевыми лицами, принимающими решения на центральном и региональном уровне, при обсуждениях в формате круглого стола с участием органов государственной власти и партнеров общественных организаций, при разработке и трансляции видео- и аудио</w:t>
      </w:r>
      <w:r w:rsidR="00D6254B">
        <w:rPr>
          <w:rFonts w:ascii="Arial" w:hAnsi="Arial"/>
        </w:rPr>
        <w:t>-</w:t>
      </w:r>
      <w:r>
        <w:rPr>
          <w:rFonts w:ascii="Arial" w:hAnsi="Arial"/>
        </w:rPr>
        <w:t xml:space="preserve">роликов, а также при изготовлении целевой наружной рекламы, печатных материалов и т.д.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Проект также предусматривает поддержку программы небольших грантов для НПО с учетом знаний и передового опыта, полученных в период использования текущего гранта. Также предусматривается развитие и укрепление потенциала местных НПО для обеспечения их участия в профилактике и лечении ТБ, в частности, в процессе удовлетворения потребностей уязвимых и социально-неблагополучных групп населения</w:t>
      </w:r>
      <w:r w:rsidR="00791CFA">
        <w:rPr>
          <w:rFonts w:ascii="Arial" w:hAnsi="Arial"/>
        </w:rPr>
        <w:t xml:space="preserve"> </w:t>
      </w:r>
      <w:r w:rsidR="00791CFA" w:rsidRPr="00736BEA">
        <w:rPr>
          <w:rFonts w:ascii="Arial" w:hAnsi="Arial"/>
        </w:rPr>
        <w:t>(ЛЖВС, ПИН, заключенные и лица освободившиеся из тюрем</w:t>
      </w:r>
      <w:r w:rsidR="00791CFA">
        <w:rPr>
          <w:rFonts w:ascii="Arial" w:hAnsi="Arial"/>
        </w:rPr>
        <w:t xml:space="preserve">, бездомные и </w:t>
      </w:r>
      <w:r w:rsidR="00791CFA">
        <w:rPr>
          <w:rFonts w:ascii="Arial" w:hAnsi="Arial"/>
        </w:rPr>
        <w:lastRenderedPageBreak/>
        <w:t>мигранты</w:t>
      </w:r>
      <w:r w:rsidR="00791CFA" w:rsidRPr="00736BEA">
        <w:rPr>
          <w:rFonts w:ascii="Arial" w:hAnsi="Arial"/>
        </w:rPr>
        <w:t>)</w:t>
      </w:r>
      <w:r>
        <w:rPr>
          <w:rFonts w:ascii="Arial" w:hAnsi="Arial"/>
        </w:rPr>
        <w:t xml:space="preserve">. В рамках проекта будет проведено два вида обучения с упором на: i) ключевые проблемы ТБ в целевых группах, современные подходы к поддержке пациентов и роль гражданского общества и местных субъектов в обеспечении соблюдения предписанного режима лечения и других видов поддержки с учетом ориентированной на людей модели оказания помощи при ТБ (3 учебных курса); и 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) организационное развитие; разработку, реализацию, мониторинг и оценку проекта; </w:t>
      </w:r>
      <w:r w:rsidR="00E27355">
        <w:rPr>
          <w:rFonts w:ascii="Arial" w:hAnsi="Arial"/>
        </w:rPr>
        <w:t>коммуникацию</w:t>
      </w:r>
      <w:r>
        <w:rPr>
          <w:rFonts w:ascii="Arial" w:hAnsi="Arial"/>
        </w:rPr>
        <w:t xml:space="preserve"> и отчетность (2 учебных курса).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заявке запрашивается поддержка </w:t>
      </w:r>
      <w:r w:rsidR="00E27355">
        <w:rPr>
          <w:rFonts w:ascii="Arial" w:hAnsi="Arial"/>
        </w:rPr>
        <w:t xml:space="preserve">для </w:t>
      </w:r>
      <w:r>
        <w:rPr>
          <w:rFonts w:ascii="Arial" w:hAnsi="Arial"/>
        </w:rPr>
        <w:t>45 грантов для НПО в течение срока действия проекта: 1-й год - 20 грантов, 2-й год - 15 грантов, 3-й год - 10 грантов, тем самым полагаясь на расширение участия государства в поддержке НПО посредством заключения социальных контрактов как неотъемлемой части общего процесса перехода. Гранты, выделенные для НПО, будут реализованы в разных регионах страны и будут включать широкий спектр мероприятий, направленных на: (i) внедрение новаторских подходов, ориентированных на людей и пациентов, для совершенствования процессов выявления случаев ТБ, соблюдения схемы лечения, прослеживания контактов и профилактики в неблагополучных слоях населения; (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>) поддержку в выявлении случаев ТБ и ЛУ-ТБ, ведении случаев заболевания и профилактике среди уязвимых и социально-неблагополучных групп населения, таких как ЛЖВ, ПИН, мигранты, заключенные, бывшие заключенные и бездомные; и (</w:t>
      </w: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 xml:space="preserve">) устранение правовых барьеров касательно оказания медицинской помощи, прав человека, </w:t>
      </w:r>
      <w:r w:rsidR="00AA0737">
        <w:rPr>
          <w:rFonts w:ascii="Arial" w:hAnsi="Arial"/>
        </w:rPr>
        <w:t>гендерных вопросов</w:t>
      </w:r>
      <w:r>
        <w:rPr>
          <w:rFonts w:ascii="Arial" w:hAnsi="Arial"/>
        </w:rPr>
        <w:t xml:space="preserve">, </w:t>
      </w:r>
      <w:r w:rsidR="00E27355">
        <w:rPr>
          <w:rFonts w:ascii="Arial" w:hAnsi="Arial"/>
        </w:rPr>
        <w:t>стигмы</w:t>
      </w:r>
      <w:r>
        <w:rPr>
          <w:rFonts w:ascii="Arial" w:hAnsi="Arial"/>
        </w:rPr>
        <w:t xml:space="preserve"> и других факторов, ограничивающих доступ к услугам.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Основываясь на опыте, полученном при реализации текущего проекта, Основной реципиент обеспечит соответствующие процедуры </w:t>
      </w:r>
      <w:r w:rsidR="00E27355">
        <w:rPr>
          <w:rFonts w:ascii="Arial" w:hAnsi="Arial"/>
        </w:rPr>
        <w:t>по объявлению конкурса</w:t>
      </w:r>
      <w:r>
        <w:rPr>
          <w:rFonts w:ascii="Arial" w:hAnsi="Arial"/>
        </w:rPr>
        <w:t xml:space="preserve"> и отбор</w:t>
      </w:r>
      <w:r w:rsidR="00E27355">
        <w:rPr>
          <w:rFonts w:ascii="Arial" w:hAnsi="Arial"/>
        </w:rPr>
        <w:t>у</w:t>
      </w:r>
      <w:r>
        <w:rPr>
          <w:rFonts w:ascii="Arial" w:hAnsi="Arial"/>
        </w:rPr>
        <w:t>, заключения контрактов, надзора, отчетности, мониторинга и оценки программы предоставления небольших грантов для НПО. Мониторинговые визиты в отдельные регионы и на участки реализации проектов будут проводиться сотрудниками по мониторингу и оценке Основного реципиента и НПТ для оценки хода реализации грантов, качества услуг и удовлетворенности пользователей, а также выявления проблем и мер, необходимых для их решения. Планируется проводить два мониторинговых визита по каждому проекту в год. Кроме того, будут организованы обменные визиты между различными представителями НПО с целью проведения экспертной оценки и обмена опытом.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База данных клиентов НПО, которая создается в рамках текущего проекта ГФ по борьбе с ТБ, будет поддерживаться и регулярно обновляться для обеспечения эффективного мониторинга и оценки услуг, предоставляемых в рамках реализации грантов. Для персонала НПО - получателей грантов будет проведено соответствующее обучение </w:t>
      </w:r>
      <w:r w:rsidR="00A17F09">
        <w:rPr>
          <w:rFonts w:ascii="Arial" w:hAnsi="Arial"/>
        </w:rPr>
        <w:t>в области</w:t>
      </w:r>
      <w:r>
        <w:rPr>
          <w:rFonts w:ascii="Arial" w:hAnsi="Arial"/>
        </w:rPr>
        <w:t xml:space="preserve"> управлени</w:t>
      </w:r>
      <w:r w:rsidR="00A17F09">
        <w:rPr>
          <w:rFonts w:ascii="Arial" w:hAnsi="Arial"/>
        </w:rPr>
        <w:t>я</w:t>
      </w:r>
      <w:r>
        <w:rPr>
          <w:rFonts w:ascii="Arial" w:hAnsi="Arial"/>
        </w:rPr>
        <w:t xml:space="preserve"> данными клиентов.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В последний год реализации проекта будет организована национальная конференция по ТБ с участием всех партнеров, активно участвующих в борьбе с ТБ (представители правительственных учреждений и государственных служб, неправительственных организаций и международных учреждений). На конференции будет обсуждаться и анализироваться прогресс, достигнутый в рамках реализации национальной программы борьбы с ТБ, при этом особое внимание будет уделено обмену инновационным опытом в регионах страны и определению возможностей осуществления дальнейших действий совместно с местными органами власти, гражданским обществом и частным сектором. Конференция станет площадкой для представления результатов реализации программы предоставления небольших грантов для НПО и планирования будущих действий для перехода и устойчивого развития.</w:t>
      </w:r>
    </w:p>
    <w:p w:rsidR="003F2160" w:rsidRPr="009527D4" w:rsidRDefault="00E27355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>Интервенция</w:t>
      </w:r>
      <w:r w:rsidR="003F2160">
        <w:rPr>
          <w:rFonts w:ascii="Arial" w:hAnsi="Arial"/>
          <w:u w:val="single"/>
        </w:rPr>
        <w:t xml:space="preserve"> 2.4. Другие процедуры, связанные с МЛУ-ТБ</w:t>
      </w:r>
    </w:p>
    <w:p w:rsidR="003F2160" w:rsidRPr="009527D4" w:rsidRDefault="00E27355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Модуль: </w:t>
      </w:r>
      <w:r>
        <w:rPr>
          <w:rFonts w:ascii="Arial" w:hAnsi="Arial"/>
          <w:i/>
        </w:rPr>
        <w:tab/>
      </w:r>
      <w:r w:rsidR="003F2160">
        <w:rPr>
          <w:rFonts w:ascii="Arial" w:hAnsi="Arial"/>
          <w:i/>
        </w:rPr>
        <w:t xml:space="preserve"> Туберкулез с множественной лекарственной устойчивостью (МЛУ-ТБ)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Данная процедура включает в себя, главным образом, мероприятия по адвокации, коммуникации и социальной мобилизации (АКСМ), предназначенные для всех слоев населения, а также для избранных целевых групп. Национальный консультант будет оказывать техническую помощь НПТ и партнерам в разработке кампаний по обеспечению общественной осведомленности, в разработке и предварительном тестировании информационных и образовательных материалов (ИОМ), получении соответствующих одобрений в органах власти, содействии и мониторинге реализации, а также в обеспечении соответствующей коммуникации в социальных сетях. </w:t>
      </w:r>
      <w:r>
        <w:rPr>
          <w:rFonts w:ascii="Arial" w:hAnsi="Arial"/>
        </w:rPr>
        <w:tab/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течение 1-го года будет проведено исследование «Знание, отношение и практика в отношении ТБ» (ЗОП) для оценки ситуации и информирования о дальнейших действиях. На основе результатов исследования при поддержке внешнего консультанта будет разработан Национальный план АКСМ на 2021-2025 годы. В течение второго года НПТ также получит внешнюю техническую помощь в разработке многосекторального Плана снижения и предотвращения </w:t>
      </w:r>
      <w:r w:rsidR="00E27355">
        <w:rPr>
          <w:rFonts w:ascii="Arial" w:hAnsi="Arial"/>
        </w:rPr>
        <w:t>стигмы</w:t>
      </w:r>
      <w:r>
        <w:rPr>
          <w:rFonts w:ascii="Arial" w:hAnsi="Arial"/>
        </w:rPr>
        <w:t xml:space="preserve"> и дискриминации в отношении ТБ, в котором, в частности, будут определены изменения, которые должны быть внесены в различные нормативно-правовые акты для устранения и/или предотвращения дискриминационной практики.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Будет разработан и распространен пакет информационных и образовательных материалов для профилактики и лечения ЛУ-ТБ в соответствии с целями национальной программы борьбы с ТБ и на основе результатов предыдущих исследований ЗОП. Этот пакет материалов будет включать рекомендации для пациентов и их семей; печатные информационно-образовательные материалы для уязвимых групп населения, таких как ЛЖВ, заключенные, сезонные трудовые мигранты, бездомные и т. д.; рекомендации для социальных работников, психологов, лиц, оказывающих первичную медицинскую помощь; а также различные материалы, предназначенные для продвижения новых методов диагностики и лечения ТБ, с упором на необходимость завершения лечения и исключения лекарственной устойчивости</w:t>
      </w:r>
      <w:r w:rsidR="00791CFA">
        <w:rPr>
          <w:rFonts w:ascii="Arial" w:hAnsi="Arial"/>
        </w:rPr>
        <w:t>, а также предупреждения стигмы и дискриминации</w:t>
      </w:r>
      <w:r>
        <w:rPr>
          <w:rFonts w:ascii="Arial" w:hAnsi="Arial"/>
        </w:rPr>
        <w:t xml:space="preserve">. В рамках проекта будет оказана поддержка производству и трансляции теле- и </w:t>
      </w:r>
      <w:proofErr w:type="spellStart"/>
      <w:r>
        <w:rPr>
          <w:rFonts w:ascii="Arial" w:hAnsi="Arial"/>
        </w:rPr>
        <w:t>радиороликов</w:t>
      </w:r>
      <w:proofErr w:type="spellEnd"/>
      <w:r>
        <w:rPr>
          <w:rFonts w:ascii="Arial" w:hAnsi="Arial"/>
        </w:rPr>
        <w:t xml:space="preserve">, направленных на повышение осведомленности населения о ТБ и ТБ/ВИЧ, при этом особое внимание будет уделено доступу к услугам, наличию инновационных методов диагностики и лечения, а также необходимости осуществления мер профилактики лекарственной устойчивости. 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Проект предоставит журналистам, работающим в основных СМИ (включая печатные, электронные и социальные сети), своевременную и надежную информацию о ТБ и борьбе с ним в масштабе всей страны и на местном уровне. Для этого в течение каждого года реализации проекта для представителей СМИ будут организованы учебные семинары по профилактике и лечению ТБ и ЛУ-ТБ. В рамках проекта также будут проводиться ежегодные конкурсы для журналистов, которые будут награждены за лучшие публикации и программы по вопросам ТБ. Кроме того, 24 марта будут проведены информационные семинары по проблемам ТБ на центральном </w:t>
      </w:r>
      <w:r w:rsidR="00D6254B">
        <w:rPr>
          <w:rFonts w:ascii="Arial" w:hAnsi="Arial"/>
        </w:rPr>
        <w:t>уровне в рамках Всемирн</w:t>
      </w:r>
      <w:r w:rsidR="00E27355">
        <w:rPr>
          <w:rFonts w:ascii="Arial" w:hAnsi="Arial"/>
        </w:rPr>
        <w:t>ого Дня</w:t>
      </w:r>
      <w:r w:rsidR="00D6254B">
        <w:rPr>
          <w:rFonts w:ascii="Arial" w:hAnsi="Arial"/>
        </w:rPr>
        <w:t xml:space="preserve"> </w:t>
      </w:r>
      <w:r>
        <w:rPr>
          <w:rFonts w:ascii="Arial" w:hAnsi="Arial"/>
        </w:rPr>
        <w:t>борьб</w:t>
      </w:r>
      <w:r w:rsidR="00D6254B">
        <w:rPr>
          <w:rFonts w:ascii="Arial" w:hAnsi="Arial"/>
        </w:rPr>
        <w:t>ы</w:t>
      </w:r>
      <w:r>
        <w:rPr>
          <w:rFonts w:ascii="Arial" w:hAnsi="Arial"/>
        </w:rPr>
        <w:t xml:space="preserve"> с ТБ, в целях повышения уровня осведомленности и ответственности государственных органов, а также для улучшения сотрудничества и координации между различными субъектами, включая гражданское общество и СМИ.</w:t>
      </w:r>
    </w:p>
    <w:p w:rsidR="003F2160" w:rsidRPr="00A17F09" w:rsidRDefault="003F2160" w:rsidP="003F2160">
      <w:pPr>
        <w:spacing w:after="120" w:line="240" w:lineRule="auto"/>
        <w:ind w:left="1440" w:hanging="1440"/>
        <w:jc w:val="both"/>
        <w:rPr>
          <w:rFonts w:ascii="Arial" w:hAnsi="Arial"/>
          <w:b/>
        </w:rPr>
      </w:pPr>
      <w:r w:rsidRPr="00A17F09">
        <w:rPr>
          <w:rFonts w:ascii="Arial" w:hAnsi="Arial"/>
          <w:b/>
        </w:rPr>
        <w:t>3. Управление грантами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Процедура 3.1. Управление грантами</w:t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Модуль: Управление программами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3F2160" w:rsidRPr="009527D4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Этот компонент включает расходы на управление грантом со стороны Основного реципиента (в лице Национального научного центра </w:t>
      </w:r>
      <w:proofErr w:type="spellStart"/>
      <w:r>
        <w:rPr>
          <w:rFonts w:ascii="Arial" w:hAnsi="Arial"/>
        </w:rPr>
        <w:t>фтизиопульмонологии</w:t>
      </w:r>
      <w:proofErr w:type="spellEnd"/>
      <w:r>
        <w:rPr>
          <w:rFonts w:ascii="Arial" w:hAnsi="Arial"/>
        </w:rPr>
        <w:t>): расходы на персонал и эксплуатационные расходы по проекту, включая мониторинг реализации проекта и внешний аудит.</w:t>
      </w:r>
    </w:p>
    <w:p w:rsidR="003F2160" w:rsidRPr="009527D4" w:rsidRDefault="003F2160" w:rsidP="003F2160">
      <w:pPr>
        <w:spacing w:after="120" w:line="240" w:lineRule="auto"/>
        <w:jc w:val="center"/>
        <w:rPr>
          <w:rFonts w:ascii="Arial" w:hAnsi="Arial"/>
          <w:b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*</w:t>
      </w:r>
    </w:p>
    <w:p w:rsidR="003F2160" w:rsidRPr="009527D4" w:rsidRDefault="003F2160" w:rsidP="003F2160">
      <w:pPr>
        <w:spacing w:after="120" w:line="240" w:lineRule="auto"/>
        <w:rPr>
          <w:rFonts w:ascii="Arial" w:hAnsi="Arial"/>
          <w:b/>
        </w:rPr>
      </w:pPr>
      <w:r>
        <w:rPr>
          <w:rFonts w:ascii="Arial" w:hAnsi="Arial"/>
        </w:rPr>
        <w:lastRenderedPageBreak/>
        <w:t>Для получения подробной информации см. приведенную ниже таблицу, подробный План работы и Бюджет.</w:t>
      </w:r>
    </w:p>
    <w:p w:rsidR="003F2160" w:rsidRDefault="003F2160" w:rsidP="003F2160">
      <w:pPr>
        <w:spacing w:after="120" w:line="240" w:lineRule="auto"/>
        <w:rPr>
          <w:rFonts w:ascii="Arial" w:hAnsi="Arial"/>
          <w:b/>
          <w:color w:val="FF0000"/>
          <w:sz w:val="20"/>
          <w:szCs w:val="20"/>
        </w:rPr>
      </w:pPr>
    </w:p>
    <w:p w:rsidR="003F2160" w:rsidRDefault="003F2160" w:rsidP="003F2160">
      <w:pPr>
        <w:spacing w:after="120" w:line="240" w:lineRule="auto"/>
        <w:rPr>
          <w:rFonts w:ascii="Arial" w:hAnsi="Arial"/>
          <w:b/>
          <w:color w:val="FF0000"/>
          <w:sz w:val="20"/>
          <w:szCs w:val="20"/>
        </w:rPr>
        <w:sectPr w:rsidR="003F2160" w:rsidSect="00DC3DD1">
          <w:footerReference w:type="default" r:id="rId18"/>
          <w:pgSz w:w="11906" w:h="16838"/>
          <w:pgMar w:top="1440" w:right="1440" w:bottom="1440" w:left="1440" w:header="708" w:footer="693" w:gutter="0"/>
          <w:cols w:space="708"/>
          <w:rtlGutter/>
          <w:docGrid w:linePitch="360"/>
        </w:sectPr>
      </w:pPr>
    </w:p>
    <w:p w:rsidR="003F2160" w:rsidRDefault="003F2160" w:rsidP="003F2160">
      <w:pPr>
        <w:spacing w:after="120" w:line="240" w:lineRule="auto"/>
        <w:rPr>
          <w:rFonts w:ascii="Arial" w:hAnsi="Arial"/>
          <w:b/>
          <w:color w:val="FF0000"/>
          <w:sz w:val="20"/>
          <w:szCs w:val="20"/>
        </w:rPr>
      </w:pPr>
    </w:p>
    <w:p w:rsidR="003F2160" w:rsidRPr="00A81E63" w:rsidRDefault="003F2160" w:rsidP="003F2160">
      <w:pPr>
        <w:jc w:val="center"/>
        <w:rPr>
          <w:rFonts w:ascii="Arial" w:hAnsi="Arial"/>
          <w:b/>
          <w:bCs/>
          <w:sz w:val="20"/>
          <w:szCs w:val="20"/>
        </w:rPr>
      </w:pPr>
      <w:r w:rsidRPr="00A81E63">
        <w:rPr>
          <w:rFonts w:ascii="Arial" w:hAnsi="Arial"/>
          <w:b/>
          <w:sz w:val="20"/>
          <w:szCs w:val="20"/>
        </w:rPr>
        <w:t>Таблица 3. Применение средств на борьбу с ТБ в Казахстане: мероприятия и действия по Целям</w:t>
      </w:r>
    </w:p>
    <w:tbl>
      <w:tblPr>
        <w:tblW w:w="13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012"/>
        <w:gridCol w:w="6379"/>
        <w:gridCol w:w="413"/>
        <w:gridCol w:w="413"/>
        <w:gridCol w:w="414"/>
        <w:gridCol w:w="413"/>
        <w:gridCol w:w="414"/>
        <w:gridCol w:w="413"/>
        <w:gridCol w:w="379"/>
        <w:gridCol w:w="448"/>
        <w:gridCol w:w="413"/>
        <w:gridCol w:w="414"/>
        <w:gridCol w:w="413"/>
        <w:gridCol w:w="414"/>
      </w:tblGrid>
      <w:tr w:rsidR="00A81E63" w:rsidRPr="00A81E63" w:rsidTr="000E3352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A04BDB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Интервенция / Мероприятие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Год 1 (</w:t>
            </w:r>
            <w:proofErr w:type="spellStart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янв</w:t>
            </w:r>
            <w:proofErr w:type="spellEnd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-дек 2020)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Год 2 (</w:t>
            </w:r>
            <w:proofErr w:type="spellStart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янв</w:t>
            </w:r>
            <w:proofErr w:type="spellEnd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-дек 2021)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Год 3 (</w:t>
            </w:r>
            <w:proofErr w:type="spellStart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янв</w:t>
            </w:r>
            <w:proofErr w:type="spellEnd"/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-дек 2022)</w:t>
            </w:r>
          </w:p>
        </w:tc>
      </w:tr>
      <w:tr w:rsidR="00A81E63" w:rsidRPr="00A81E63" w:rsidTr="00F5655F">
        <w:trPr>
          <w:tblHeader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К1</w:t>
            </w:r>
          </w:p>
        </w:tc>
        <w:tc>
          <w:tcPr>
            <w:tcW w:w="41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К2</w:t>
            </w:r>
          </w:p>
        </w:tc>
        <w:tc>
          <w:tcPr>
            <w:tcW w:w="41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К3</w:t>
            </w:r>
          </w:p>
        </w:tc>
        <w:tc>
          <w:tcPr>
            <w:tcW w:w="41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К4</w:t>
            </w:r>
          </w:p>
        </w:tc>
        <w:tc>
          <w:tcPr>
            <w:tcW w:w="41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К5</w:t>
            </w:r>
          </w:p>
        </w:tc>
        <w:tc>
          <w:tcPr>
            <w:tcW w:w="41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К6</w:t>
            </w:r>
          </w:p>
        </w:tc>
        <w:tc>
          <w:tcPr>
            <w:tcW w:w="37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К7</w:t>
            </w:r>
          </w:p>
        </w:tc>
        <w:tc>
          <w:tcPr>
            <w:tcW w:w="44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К8</w:t>
            </w:r>
          </w:p>
        </w:tc>
        <w:tc>
          <w:tcPr>
            <w:tcW w:w="41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К9</w:t>
            </w:r>
          </w:p>
        </w:tc>
        <w:tc>
          <w:tcPr>
            <w:tcW w:w="41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К10</w:t>
            </w:r>
          </w:p>
        </w:tc>
        <w:tc>
          <w:tcPr>
            <w:tcW w:w="41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К11</w:t>
            </w:r>
          </w:p>
        </w:tc>
        <w:tc>
          <w:tcPr>
            <w:tcW w:w="41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sz w:val="16"/>
                <w:szCs w:val="16"/>
              </w:rPr>
            </w:pPr>
            <w:r w:rsidRPr="00A81E63">
              <w:rPr>
                <w:rFonts w:ascii="Arial Narrow" w:hAnsi="Arial Narrow"/>
                <w:b/>
                <w:i/>
                <w:sz w:val="16"/>
                <w:szCs w:val="16"/>
              </w:rPr>
              <w:t>К12</w:t>
            </w:r>
          </w:p>
        </w:tc>
      </w:tr>
      <w:tr w:rsidR="00A81E63" w:rsidRPr="00A81E63" w:rsidTr="000E3352">
        <w:tc>
          <w:tcPr>
            <w:tcW w:w="533" w:type="dxa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A81E6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3352" w:type="dxa"/>
            <w:gridSpan w:val="14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A04BDB" w:rsidP="00A04BDB">
            <w:pPr>
              <w:spacing w:before="40" w:after="40" w:line="240" w:lineRule="auto"/>
              <w:rPr>
                <w:rFonts w:ascii="Arial Narrow" w:hAnsi="Arial Narrow" w:cs="Times New Roman"/>
                <w:b/>
              </w:rPr>
            </w:pPr>
            <w:r w:rsidRPr="00A81E63">
              <w:rPr>
                <w:rFonts w:ascii="Arial Narrow" w:hAnsi="Arial Narrow"/>
                <w:b/>
              </w:rPr>
              <w:t>Задача</w:t>
            </w:r>
            <w:r w:rsidR="003F2160" w:rsidRPr="00A81E63">
              <w:rPr>
                <w:rFonts w:ascii="Arial Narrow" w:hAnsi="Arial Narrow"/>
                <w:b/>
              </w:rPr>
              <w:t xml:space="preserve"> 1. Обеспечить комплексн</w:t>
            </w:r>
            <w:r w:rsidRPr="00A81E63">
              <w:rPr>
                <w:rFonts w:ascii="Arial Narrow" w:hAnsi="Arial Narrow"/>
                <w:b/>
              </w:rPr>
              <w:t xml:space="preserve">ый </w:t>
            </w:r>
            <w:r w:rsidR="003F2160" w:rsidRPr="00A81E63">
              <w:rPr>
                <w:rFonts w:ascii="Arial Narrow" w:hAnsi="Arial Narrow"/>
                <w:b/>
              </w:rPr>
              <w:t>и устойчив</w:t>
            </w:r>
            <w:r w:rsidRPr="00A81E63">
              <w:rPr>
                <w:rFonts w:ascii="Arial Narrow" w:hAnsi="Arial Narrow"/>
                <w:b/>
              </w:rPr>
              <w:t xml:space="preserve">ый </w:t>
            </w:r>
            <w:r w:rsidR="003F2160" w:rsidRPr="00A81E63">
              <w:rPr>
                <w:rFonts w:ascii="Arial Narrow" w:hAnsi="Arial Narrow"/>
                <w:b/>
              </w:rPr>
              <w:t>ответ системы здравоохранения на проблемы, связанные с ЛУ-ТБ</w:t>
            </w: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Политика поддержки и программная среда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bCs/>
                <w:i/>
                <w:sz w:val="18"/>
                <w:szCs w:val="18"/>
              </w:rPr>
              <w:tab/>
              <w:t xml:space="preserve"> ЖУССЗ - предоставление комплексных услуг и улучшение качества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0E3352" w:rsidP="000E3352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Поддержка Рабочей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групп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 укреплению системы здравоохранения для борьбы с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E3352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Многосекторальная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рабочая группа, созданная в рамках использования предыдущего гранта, получит дальнейшую поддержку при осуществлении информационно-</w:t>
            </w:r>
            <w:proofErr w:type="spellStart"/>
            <w:r w:rsidR="000E3352" w:rsidRPr="00A81E63">
              <w:rPr>
                <w:rFonts w:ascii="Arial Narrow" w:hAnsi="Arial Narrow"/>
                <w:bCs/>
                <w:sz w:val="18"/>
                <w:szCs w:val="18"/>
              </w:rPr>
              <w:t>адвокацион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ой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деятельности на высоком уровне и повышении уровня политической приверженности эффективному управлению системой здравоохранения и предоставлению финансирования для мероприятий по борьбе с ТБ, включая укрепление и координацию участия неправительственного сектора. В рамках нового гранта будут выделены средства для оказания поддержки национальным экспертам в разработке соответствующих нормативных актов как для гражданск</w:t>
            </w:r>
            <w:r w:rsidR="000E3352" w:rsidRPr="00A81E63">
              <w:rPr>
                <w:rFonts w:ascii="Arial Narrow" w:hAnsi="Arial Narrow"/>
                <w:bCs/>
                <w:sz w:val="18"/>
                <w:szCs w:val="18"/>
              </w:rPr>
              <w:t>ой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, так и пенитенциарн</w:t>
            </w:r>
            <w:r w:rsidR="000E3352" w:rsidRPr="00A81E63">
              <w:rPr>
                <w:rFonts w:ascii="Arial Narrow" w:hAnsi="Arial Narrow"/>
                <w:bCs/>
                <w:sz w:val="18"/>
                <w:szCs w:val="18"/>
              </w:rPr>
              <w:t>ой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служб, а также рекомендаций для НПО в соответствии с международными рекомендациями и передовой практикой.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68508D" w:rsidP="00EA67F7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ЖУССЗ / Координационные совещания по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A67F7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рамках проекта будет оказана поддержка при проведении координационных совещаний с более широким участием правительственных учреждений (включая Министерство финансов и Комитет по уголовно-исполнительной системе Министерства внутренних дел), руководителей в области здравоохранения на центральном и региональном уровнях, представителей научных кругов, гражданского общества и других негосударственных субъектов (ежеквартальные совещания в течение первых двух лет).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rPr>
          <w:trHeight w:val="1817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FC00AB" w:rsidP="00FC00AB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ЖУССЗ / Круглые столы по ТБ на центральном / региональном уровнях для лиц, принимающих решения на высоком уровне       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41176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рамках проекта будут организованы специальные обучающие семинары и обсуждения в формате круглого стола на 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центральном и/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региональном уровн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>ях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 участием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представителей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местных органов государственного управления и соот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>ветствующих партнеров, включая бизнес структур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которые будут сосредоточены на подходах к реализации Стратегии по 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>Ликвидации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ТБ, таких как обеспечение лечения, ориентированного на 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людей 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пациентов, с использованием, главным образом, модели амбулаторного ведения случаев ТБ и ЛУ-ТБ, создание функциональных местных коалиций для борьбы с ТБ, а также мобилизация дополнительных и альтернативных источников финансирования для приоритетных мер по борьбе с ТБ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(по 2 мероприятия ежегодно в течение всего гранта).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по институционализации новых механизмов оплаты за услуги по борьбе с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При взаимодействии с региональным проектом</w:t>
            </w:r>
            <w:r w:rsidR="00B837D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ГФ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 борьбе с ТБ («TB-REP 2.0») будет оказано содействие в развитии компетенции региональных (областных) менеджеров НПТ путем проведения обучения в области управленческих и технических аспектов, связанных с институционализацией новых механизмов оплаты за услуги по диагностике и лечению ТБ. Учебные семинары будут проводиться в рамках </w:t>
            </w:r>
            <w:r w:rsidR="00A4117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продолжения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технической помощи по проекту TB-REP 2.0 в 2019 году, которая будет оказана для поддержки (i) пересмотра механизмов оплаты за услуги поставщиков в целях повышения эффективности 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содействия оказанию медицинской помощи при ТБ, ориентированной на пациентов; и (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ii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) разработки и внедрения механизма стимулирования в целях совершенствования процессов найма и удержания персонала противотуберкулезной службы (врачей, медсестер и лабораторного персонала) (2 учебных семинара в год в течение первых двух лет; участие внешнего консультанта в учебных семинарах в течение первого года).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Техническая помощь, модель оказания амбулаторной помощи при лечении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Будет привлечен внешний консультант для оценки процесса внедрения модели амбулаторного лечения ТБ (включая случаи ЛУ-ТБ и случаи заболевания среди детей), инициированного в рамках текущего проекта ГФ в трех пилотных регионах (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Акмолинская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, Актюбинская и Восточно-Казахстанская области), и разработки рекомендаций для дальнейших мероприятий по внедрению модели в других регионах (Год 1).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1.1.6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Техническая помощь, усиление поддержки пациентов и последующее врачебн</w:t>
            </w:r>
            <w:r w:rsidR="00A87D4F" w:rsidRPr="00A81E63">
              <w:rPr>
                <w:rFonts w:ascii="Arial Narrow" w:hAnsi="Arial Narrow"/>
                <w:bCs/>
                <w:sz w:val="18"/>
                <w:szCs w:val="18"/>
              </w:rPr>
              <w:t>ое наблюдение при лечении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Будет привлечен внешний консультант для оценки процесса внедрения усиленной программы поддержки в соблюдении режима лечения и последующего наблюдения для пациентов с ЛУ-ТБ в рамках текущего проекта ГФ в трех пилотных регионах (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Акмолинская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, Актюбинская и Восточно-Казахстанская области), и разработки рекомендаций для дальнейших мероприятий по внедрению модели в других регионах (Год 1).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1.1.7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Техническая помощь, стационарное лечение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87D4F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Будет привлечен внешний консультант для оценки процесса оптимизации </w:t>
            </w:r>
            <w:r w:rsidR="00A87D4F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госпитализации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пациентов с ТБ и ЛУ-ТБ в </w:t>
            </w:r>
            <w:r w:rsidR="00A87D4F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течении 2014-2018 </w:t>
            </w:r>
            <w:proofErr w:type="spellStart"/>
            <w:r w:rsidR="00A87D4F" w:rsidRPr="00A81E63">
              <w:rPr>
                <w:rFonts w:ascii="Arial Narrow" w:hAnsi="Arial Narrow"/>
                <w:bCs/>
                <w:sz w:val="18"/>
                <w:szCs w:val="18"/>
              </w:rPr>
              <w:t>гг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, и оказания помощи в разработке национального плана по оптимизации инфраструктуры туберкулезных больниц на 2021-2025 годы (Год 1).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1.1.8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50547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Обучение по реализации плана амбулаторного лечения ТБ и оптимизации больниц 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50547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Реализация концепции амбулаторного лечения ТБ и национального плана по оптимизации противотуберкулезных больниц будет поддерживаться за счет </w:t>
            </w:r>
            <w:r w:rsidR="00505474" w:rsidRPr="00A81E63">
              <w:rPr>
                <w:rFonts w:ascii="Arial Narrow" w:hAnsi="Arial Narrow"/>
                <w:bCs/>
                <w:sz w:val="18"/>
                <w:szCs w:val="18"/>
              </w:rPr>
              <w:t>обучения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руководителей органов здравоохранения </w:t>
            </w:r>
            <w:r w:rsidR="00505474" w:rsidRPr="00A81E63">
              <w:rPr>
                <w:rFonts w:ascii="Arial Narrow" w:hAnsi="Arial Narrow"/>
                <w:bCs/>
                <w:sz w:val="18"/>
                <w:szCs w:val="18"/>
              </w:rPr>
              <w:t>из регионов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, улучшения показателей работы противотуберкулезных больниц и укрепления связей между различными уровнями обслуживания пациентов и непрерывным циклом оказания медицинской помощи (2 учебных семинара в год в Годы 2 и 3).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046E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Центр клинического кураторства и повышения квалификации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046E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Оказание поддержки развитию Центра клинического кураторства и повышения квалификации при ННЦФ. Центр будет заниматься проведением дистанционного обучения по клиническому контролю туберкулеза и заболеваний легких для различных категорий медицинских работников, включая </w:t>
            </w:r>
            <w:r w:rsidR="000046E2" w:rsidRPr="00A81E63">
              <w:rPr>
                <w:rFonts w:ascii="Arial Narrow" w:hAnsi="Arial Narrow"/>
                <w:bCs/>
                <w:sz w:val="18"/>
                <w:szCs w:val="18"/>
              </w:rPr>
              <w:t>постдипломное обучение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E4F39">
        <w:trPr>
          <w:trHeight w:val="575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1.1.10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30D9C" w:rsidP="00330D9C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Участ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ие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международных совещаниях за рубежом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FE4F3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Включена поддержка участия ключевых сотрудников НПТ в </w:t>
            </w:r>
            <w:r w:rsidR="00330D9C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важных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международных конференциях и совещаниях за рубежом (4 человека в год в течение </w:t>
            </w:r>
            <w:r w:rsidR="00FE4F39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первых 2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лет</w:t>
            </w:r>
            <w:r w:rsidR="00FE4F39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3 человека в третьем году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bCs/>
                <w:sz w:val="18"/>
                <w:szCs w:val="18"/>
              </w:rPr>
              <w:t>Качество программы и данных</w:t>
            </w:r>
          </w:p>
          <w:p w:rsidR="003F2160" w:rsidRPr="00A81E63" w:rsidRDefault="003F2160" w:rsidP="00B837D6">
            <w:pPr>
              <w:spacing w:before="40" w:after="4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Модуль: ЖУССЗ - </w:t>
            </w:r>
            <w:r w:rsidR="00BA6C14" w:rsidRPr="00A81E63">
              <w:rPr>
                <w:rFonts w:ascii="Arial Narrow" w:hAnsi="Arial Narrow"/>
                <w:bCs/>
                <w:i/>
                <w:sz w:val="18"/>
                <w:szCs w:val="18"/>
              </w:rPr>
              <w:t>Информационные системы по управлению здравоохранением и Мониторинг и оценка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1.2.1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695E7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НПТ</w:t>
            </w:r>
            <w:r w:rsidR="00695E7B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надзорные визиты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695E7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Будет предоставлена поддержка при проведении регулярных визитов для осуществления надзора/мониторинга и оценки со стороны центрального отделения НПТ (ННЦФ)/Основного реципиента в регионы </w:t>
            </w:r>
            <w:r w:rsidR="00B837D6" w:rsidRPr="00A81E63">
              <w:rPr>
                <w:rFonts w:ascii="Arial Narrow" w:hAnsi="Arial Narrow"/>
                <w:bCs/>
                <w:sz w:val="18"/>
                <w:szCs w:val="18"/>
              </w:rPr>
              <w:t>в целях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наблюдения за реализацией программы, включая инновационные процедуры </w:t>
            </w:r>
            <w:r w:rsidR="00695E7B" w:rsidRPr="00A81E63">
              <w:rPr>
                <w:rFonts w:ascii="Arial Narrow" w:hAnsi="Arial Narrow"/>
                <w:bCs/>
                <w:sz w:val="18"/>
                <w:szCs w:val="18"/>
              </w:rPr>
              <w:t>менеджмента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ЛУ-ТБ. Визиты в каждую из 14 областей и в каждый из 3 городов (Астана, Алматы и Шымкент) будут осуществляться один раз в год в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течение первых двух лет; дополнительные визиты, включая надзор в областях, будут осуществляться за счет внутренних источников.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2D5D44" w:rsidP="002D5D4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Программные к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оординационные совещания НПТ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2D5D44" w:rsidP="002D5D4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НПТ программные координационные совещания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(2 дня) будут проводиться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ежегодно в течении всего гранта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первом квартале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года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на уровне ННЦФ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с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цел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ью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обсуждения хода реализации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программы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и планирования мер по решению выявленных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проблем.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1.2.3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C3142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Национальный консультант, ведение национальной базы данных по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C3142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Для ведения обновленного электронного национального реестра по ТБ будет привлечен национальный консультант (при поддержке ГФ в течение первых двух лет).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1.2.4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E77A9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Оперативные исследования по приоритетным вопросам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менеджмента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E77A9"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Заявка предусматривает оказание поддержки в проведении шести оперативных исследований в приоритетных областях программы, связанных с выявлением и лечением случаев ЛУ-ТБ, а также в осуществлении мероприятий среди групп риска в следующих областях: 1)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Алгоритм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направления и задержки в предоставлении услуг по диагностике и лечению ЛУ-ТБ; 2) Исследование устойчивости к противотуберкулезным препаратам </w:t>
            </w:r>
            <w:r w:rsidR="00AA0737" w:rsidRPr="00A81E63">
              <w:rPr>
                <w:rFonts w:ascii="Arial Narrow" w:hAnsi="Arial Narrow"/>
                <w:bCs/>
                <w:sz w:val="18"/>
                <w:szCs w:val="18"/>
              </w:rPr>
              <w:t>второго ряда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у пациентов с РУ/МЛУ-ТБ; 3) Эффективность и результативность применения метода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на районном уровне; 4) Назначение модифицированных, коротких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режимов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лечения РУ/МЛУ-ТБ при отсутствии устойчивости к препаратам </w:t>
            </w:r>
            <w:r w:rsidR="00AA0737" w:rsidRPr="00A81E63">
              <w:rPr>
                <w:rFonts w:ascii="Arial Narrow" w:hAnsi="Arial Narrow"/>
                <w:bCs/>
                <w:sz w:val="18"/>
                <w:szCs w:val="18"/>
              </w:rPr>
              <w:t>второго ряда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; 5)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С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крининг ТБ и профилактическое лечение латентной ТБ инфекции среди лиц, контактирующих с больными ЛУ-ТБ; и 6) Выявление случаев активного ТБ и ЛУ-ТБ и профилактическое лечение в группах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высокого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риска. Исследования будут проводиться ННЦФ в сотрудничестве с Национальным медицинским университетом и другими партнерами. На основании результатов исследований будут приняты решения НПТ в области лечения ЛУ-ТБ и удовлетворения потребностей уязвимых и социально-неблагополучных категорий населения в соответствии с новым руководством ВОЗ и с учетом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странового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контекста, включая обязательств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E77A9" w:rsidRPr="00A81E63">
              <w:rPr>
                <w:rFonts w:ascii="Arial Narrow" w:hAnsi="Arial Narrow"/>
                <w:bCs/>
                <w:sz w:val="18"/>
                <w:szCs w:val="18"/>
              </w:rPr>
              <w:t>при переходе финансирования ГФ.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0E3352">
        <w:tc>
          <w:tcPr>
            <w:tcW w:w="533" w:type="dxa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</w:rPr>
            </w:pPr>
            <w:r w:rsidRPr="00A81E63">
              <w:rPr>
                <w:rFonts w:ascii="Arial Narrow" w:hAnsi="Arial Narrow"/>
              </w:rPr>
              <w:t>2.</w:t>
            </w:r>
          </w:p>
        </w:tc>
        <w:tc>
          <w:tcPr>
            <w:tcW w:w="13352" w:type="dxa"/>
            <w:gridSpan w:val="14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1E54D8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</w:rPr>
            </w:pPr>
            <w:r w:rsidRPr="00A81E63">
              <w:rPr>
                <w:rFonts w:ascii="Arial Narrow" w:hAnsi="Arial Narrow"/>
                <w:b/>
              </w:rPr>
              <w:t>Задача</w:t>
            </w:r>
            <w:r w:rsidR="003F2160" w:rsidRPr="00A81E63">
              <w:rPr>
                <w:rFonts w:ascii="Arial Narrow" w:hAnsi="Arial Narrow"/>
                <w:b/>
              </w:rPr>
              <w:t xml:space="preserve"> 2. Поддержание всеобщего доступа к качественным и ориентированным на пациентов диагностике, лечению и профилактике ЛУ-ТБ.</w:t>
            </w: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81E63">
              <w:rPr>
                <w:rFonts w:ascii="Arial Narrow" w:hAnsi="Arial Narrow"/>
                <w:sz w:val="18"/>
                <w:szCs w:val="18"/>
              </w:rPr>
              <w:t>2.1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C30A82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Выявл</w:t>
            </w:r>
            <w:r w:rsidR="003F2160" w:rsidRPr="00A81E63">
              <w:rPr>
                <w:rFonts w:ascii="Arial Narrow" w:hAnsi="Arial Narrow"/>
                <w:b/>
                <w:sz w:val="18"/>
                <w:szCs w:val="18"/>
              </w:rPr>
              <w:t>ение и диагностика случаев: МЛУ-ТБ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A81E63">
              <w:rPr>
                <w:rFonts w:ascii="Arial Narrow" w:hAnsi="Arial Narrow"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i/>
                <w:sz w:val="18"/>
                <w:szCs w:val="18"/>
              </w:rPr>
              <w:tab/>
              <w:t xml:space="preserve"> Туберкулез с множественной лекарственной устойчивостью (МЛУ-ТБ)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инструментов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Данное проектное предложение предусматривает закупку 25 инструментов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для районных и городских отделений по борьбе с ТБ для обеспечения полного покрытия потребностей страны в быстром молекулярном тестировании на ТБ и ЛУ-ТБ к концу 2020 года. Закупка этих инструментов будет осуществляться в соответствии с планом НПТ по внедрению метода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который включает поддержку от различных источников (текущий проект ГФ, Агентство международного развития США и государственный бюджет) и основывается на подробной оценке потребностей в инструментах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по регионам (декабрь 2018 г.). Закупки будут проводиться в 1-й год через Глобальный механизм по обеспечению лекарственными средствами. Комплект поставки включает 2-модульных прибора, источники бесперебойного питания, стоимость доставки, гарантию на 3 года и комплекты для калибровки/поверки.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rPr>
          <w:trHeight w:val="1583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Мониторинг внедрения технологии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на районном уровне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Для обеспечения надлежащего внедрения технологии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на районном уровне в течение первых двух лет реализации проекта будут задействованы два национальных (</w:t>
            </w:r>
            <w:r w:rsidR="001E54D8" w:rsidRPr="00A81E63">
              <w:rPr>
                <w:rFonts w:ascii="Arial Narrow" w:hAnsi="Arial Narrow"/>
                <w:bCs/>
                <w:sz w:val="18"/>
                <w:szCs w:val="18"/>
              </w:rPr>
              <w:t>на неполную ставку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) консультанта в целях оказания поддержки при внедрении и функционировании технологии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районах, в пенитенциарной системе и в службе по борьбе с ВИЧ/СПИД, а также для наблюдения за внедрением нового диагностического алгоритма. Кроме того, в течение первого года представители областных </w:t>
            </w:r>
            <w:r w:rsidR="001E54D8" w:rsidRPr="00A81E63">
              <w:rPr>
                <w:rFonts w:ascii="Arial Narrow" w:hAnsi="Arial Narrow"/>
                <w:bCs/>
                <w:sz w:val="18"/>
                <w:szCs w:val="18"/>
              </w:rPr>
              <w:t>референс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лабораторий будут посещать районы, где будут использоваться новые инструменты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, для оказания поддержки местному персоналу при внедрении новой технологии.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0B666D">
        <w:trPr>
          <w:trHeight w:val="1583"/>
        </w:trPr>
        <w:tc>
          <w:tcPr>
            <w:tcW w:w="533" w:type="dxa"/>
            <w:tcMar>
              <w:left w:w="28" w:type="dxa"/>
              <w:right w:w="28" w:type="dxa"/>
            </w:tcMar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A937B2" w:rsidRPr="00A81E63" w:rsidRDefault="000B666D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Постгарантийное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сервисное обслуживание, калибровка и ремонт инструментов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A937B2" w:rsidRPr="00A81E63" w:rsidRDefault="000B666D" w:rsidP="001E54D8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Включает 3 года гарантии на оборудование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закупленное до 2017 года (всего 23 аппарата с 88 модулями, 21 с 4 модулями и 2 с 2 модулями). Стандартный пакет GDF включает в себя затраты на калибровку инструментов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: калибровочные картриджи и замена модулей, техническое обслуживание и мелкий ремонт приборов после истечения гарантийного срока. Кроме того, включены расходы на посещения инженерами MMG территорий для замены модулей, не покрываемые гарантийным пакетом GDF (около 15% модулей, подлежащих замене в течение каждого года)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37B2" w:rsidRPr="00A81E63" w:rsidRDefault="00A937B2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95AAC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A937B2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</w:t>
            </w:r>
            <w:r w:rsidR="00A937B2" w:rsidRPr="00A81E63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635AE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Исследования с помощью технологии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MTB/RIF в пенитенциарном секторе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F95AAC" w:rsidP="00635AE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картриджей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Xpert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MTB / RIF для пенитенциарного сектора. ГФ полностью покроет потребности первых двух лет (2020–2021 гг.), при этом закуп за счет государственного бюджета начнет осуществляться с 2022 года.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0A131E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A937B2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</w:t>
            </w:r>
            <w:r w:rsidR="00A937B2" w:rsidRPr="00A81E63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997A6D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Выделение штаммов в жидкой культуре и проведение ТЛЧ (с помощью автоматизированной </w:t>
            </w:r>
            <w:r w:rsidR="00997A6D" w:rsidRPr="00A81E63">
              <w:rPr>
                <w:rFonts w:ascii="Arial Narrow" w:hAnsi="Arial Narrow"/>
                <w:bCs/>
                <w:sz w:val="18"/>
                <w:szCs w:val="18"/>
              </w:rPr>
              <w:t>системы MGIT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) в пенитенциарном секторе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A131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расходных материалов для выделения штаммов в жидкой культуре и проведения ТЛЧ </w:t>
            </w:r>
            <w:r w:rsidR="00997A6D" w:rsidRPr="00A81E63">
              <w:rPr>
                <w:rFonts w:ascii="Arial Narrow" w:hAnsi="Arial Narrow"/>
                <w:bCs/>
                <w:sz w:val="18"/>
                <w:szCs w:val="18"/>
              </w:rPr>
              <w:t>к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препарат</w:t>
            </w:r>
            <w:r w:rsidR="00997A6D" w:rsidRPr="00A81E63">
              <w:rPr>
                <w:rFonts w:ascii="Arial Narrow" w:hAnsi="Arial Narrow"/>
                <w:bCs/>
                <w:sz w:val="18"/>
                <w:szCs w:val="18"/>
              </w:rPr>
              <w:t>ам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A0737" w:rsidRPr="00A81E63">
              <w:rPr>
                <w:rFonts w:ascii="Arial Narrow" w:hAnsi="Arial Narrow"/>
                <w:bCs/>
                <w:sz w:val="18"/>
                <w:szCs w:val="18"/>
              </w:rPr>
              <w:t>первого и второго ряда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 помощью автоматизированной </w:t>
            </w:r>
            <w:r w:rsidR="00997A6D" w:rsidRPr="00A81E63">
              <w:rPr>
                <w:rFonts w:ascii="Arial Narrow" w:hAnsi="Arial Narrow"/>
                <w:bCs/>
                <w:sz w:val="18"/>
                <w:szCs w:val="18"/>
              </w:rPr>
              <w:t>системы MGIT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(Bactec-960) в пенитенциарном секторе, в центральной тюремной бактериологической лаборатории в Караганде. </w:t>
            </w:r>
            <w:r w:rsidR="000A131E" w:rsidRPr="00A81E63">
              <w:rPr>
                <w:rFonts w:ascii="Arial Narrow" w:hAnsi="Arial Narrow"/>
                <w:bCs/>
                <w:sz w:val="18"/>
                <w:szCs w:val="18"/>
              </w:rPr>
              <w:t>ГФ полностью покроет потребности первых двух лет (2020–2021 гг.), при этом закуп за счет государственного бюджета начнет осуществляться с 2022 года.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0A131E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A937B2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</w:t>
            </w:r>
            <w:r w:rsidR="00A937B2" w:rsidRPr="00A81E63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3E774F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Выявление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M.Tb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проведения ТЛЧ 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к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препарат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ам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A0737" w:rsidRPr="00A81E63">
              <w:rPr>
                <w:rFonts w:ascii="Arial Narrow" w:hAnsi="Arial Narrow"/>
                <w:bCs/>
                <w:sz w:val="18"/>
                <w:szCs w:val="18"/>
              </w:rPr>
              <w:t>первого и второго ряда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метод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ом LPA HAIN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пенитенциарном секторе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A131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расходных материалов для выявления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M.Tb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проведения ТЛЧ 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к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препарат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ам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A0737" w:rsidRPr="00A81E63">
              <w:rPr>
                <w:rFonts w:ascii="Arial Narrow" w:hAnsi="Arial Narrow"/>
                <w:bCs/>
                <w:sz w:val="18"/>
                <w:szCs w:val="18"/>
              </w:rPr>
              <w:t>первого и второго ряда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B3F47" w:rsidRPr="00A81E63">
              <w:rPr>
                <w:rFonts w:ascii="Arial Narrow" w:hAnsi="Arial Narrow"/>
                <w:bCs/>
                <w:sz w:val="18"/>
                <w:szCs w:val="18"/>
              </w:rPr>
              <w:t>методом LPA HAIN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(тесты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MTBDRPlus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MTBDRsl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) в пенитенциарном секторе, в центральной тюремной бактериологической лаборатории в Караганде. ГФ полностью покроет потребности первых двух лет (2020–2021 гг.) и 50% потребностей 3-го года (2022 г.), при этом закупка за счет государственного бюджета начнет осуществляться с 2022 года.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A937B2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2.1.</w:t>
            </w:r>
            <w:r w:rsidR="00A937B2" w:rsidRPr="00A81E63">
              <w:rPr>
                <w:rFonts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1A3F9A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Закупка чистого вещества для проведения ТЛЧ в отношении новых и перепрофилированных препаратов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1A3F9A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соответствии с пересмотренными рекомендациями ВОЗ по лечению ЛУ-ТБ и новым руководством по проведению ТЛЧ, проект предусматривает закупку чистых веществ для ТЛЧ </w:t>
            </w:r>
            <w:r w:rsidR="001272EA" w:rsidRPr="00A81E63">
              <w:rPr>
                <w:rFonts w:ascii="Arial Narrow" w:hAnsi="Arial Narrow"/>
                <w:bCs/>
                <w:sz w:val="18"/>
                <w:szCs w:val="18"/>
              </w:rPr>
              <w:t>для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новых и перепрофилированных препаратов (таких как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моксифлоксацин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/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левофлоксацин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бедаквилин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линезолид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клофазимин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деламинид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), которые будут проводиться </w:t>
            </w:r>
            <w:r w:rsidR="001A3F9A" w:rsidRPr="00A81E63">
              <w:rPr>
                <w:rFonts w:ascii="Arial Narrow" w:hAnsi="Arial Narrow"/>
                <w:bCs/>
                <w:sz w:val="18"/>
                <w:szCs w:val="18"/>
              </w:rPr>
              <w:t>референс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лабораториями с помощью </w:t>
            </w:r>
            <w:r w:rsidR="001A3F9A" w:rsidRPr="00A81E63">
              <w:rPr>
                <w:rFonts w:ascii="Arial Narrow" w:hAnsi="Arial Narrow"/>
                <w:bCs/>
                <w:sz w:val="18"/>
                <w:szCs w:val="18"/>
              </w:rPr>
              <w:t>MGIT оборудования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. Поддержка со стороны ГФ полностью покроет потребности на уровне всей страны в первые два года (2020-2021 гг.), а Правительство примет на себя финансирование, начиная с 2022 года.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A937B2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2.1.</w:t>
            </w:r>
            <w:r w:rsidR="00A937B2" w:rsidRPr="00A81E63"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DA72F7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Техническое обслуживание лабораторного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DA72F7" w:rsidP="00DA72F7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оддержк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подготовке местных инженеров для обеспечения надлежащей квалификации для проведения технического обслуживания и ремонта лабораторного оборудования в Национальной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референс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лаборатории и областных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референс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лабораториях, включая шкафы биобезопасности (ШББ) и системы вентиляции (в течение первых двух лет будет проведено обучение для 4 человек).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2.2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Лечение: МЛУ-ТБ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81E63">
              <w:rPr>
                <w:rFonts w:ascii="Arial Narrow" w:hAnsi="Arial Narrow"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i/>
                <w:sz w:val="18"/>
                <w:szCs w:val="18"/>
              </w:rPr>
              <w:tab/>
              <w:t xml:space="preserve"> Туберкулез с множественной лекарственной устойчивостью (МЛУ-ТБ)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DD35EC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Закупка противотуберкулезных препаратов: Случаи РУ/МЛУ-ТБ в пенитенциарном секторе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DD35EC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препаратов для пациентов с РУ/МЛУ-ТБ в пенитенциарном секторе для проведения лечения по схемам в соответствии с новыми рекомендациями ВОЗ. Подробные расчеты числа включенных в проект пациентов, схем приема лекарственных средств и затрат представлены в подробном рабочем плане и бюджете. В отношении случаев РУ/МЛУ-ТБ без устойчивости к </w:t>
            </w:r>
            <w:r w:rsidR="006711BE" w:rsidRPr="00A81E63">
              <w:rPr>
                <w:rFonts w:ascii="Arial Narrow" w:hAnsi="Arial Narrow"/>
                <w:bCs/>
                <w:sz w:val="18"/>
                <w:szCs w:val="18"/>
              </w:rPr>
              <w:t>ФХ</w:t>
            </w:r>
            <w:r w:rsidR="00DD35EC" w:rsidRPr="00A81E63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B23388" w:rsidRPr="00A81E63">
              <w:rPr>
                <w:rFonts w:ascii="Arial Narrow" w:hAnsi="Arial Narrow"/>
                <w:bCs/>
                <w:sz w:val="18"/>
                <w:szCs w:val="18"/>
              </w:rPr>
              <w:t>ГФ покроет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потребности пенитенциарного сектора в первый год (2020 г.), а Правительств</w:t>
            </w:r>
            <w:r w:rsidR="0083757D" w:rsidRPr="00A81E63">
              <w:rPr>
                <w:rFonts w:ascii="Arial Narrow" w:hAnsi="Arial Narrow"/>
                <w:bCs/>
                <w:sz w:val="18"/>
                <w:szCs w:val="18"/>
              </w:rPr>
              <w:t>о примет на себя финансирование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начиная с 2021 года.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83757D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Закупка противотуберк</w:t>
            </w:r>
            <w:r w:rsidR="0083757D" w:rsidRPr="00A81E63">
              <w:rPr>
                <w:rFonts w:ascii="Arial Narrow" w:hAnsi="Arial Narrow"/>
                <w:bCs/>
                <w:sz w:val="18"/>
                <w:szCs w:val="18"/>
              </w:rPr>
              <w:t>улезных препаратов: случаи «пре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-ШЛУ» и ШЛУ-ТБ в пенитенциарном секторе.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667333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Закупка </w:t>
            </w:r>
            <w:r w:rsidR="0083757D" w:rsidRPr="00A81E63">
              <w:rPr>
                <w:rFonts w:ascii="Arial Narrow" w:hAnsi="Arial Narrow"/>
                <w:bCs/>
                <w:sz w:val="18"/>
                <w:szCs w:val="18"/>
              </w:rPr>
              <w:t>препаратов для пациентов с «пре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-ШЛУ» и ШЛУ-ТБ в пенитенциарном секторе для проведения лечения по схемам в соответствии с новыми рекомендациями ВОЗ. Подробные расчеты числа включенных в проект пациентов, схем приема лекарственных средств и затрат представлены в подробном рабочем плане и бюджете. В отношении случаев с устойчивостью к </w:t>
            </w:r>
            <w:r w:rsidR="006711BE" w:rsidRPr="00A81E63">
              <w:rPr>
                <w:rFonts w:ascii="Arial Narrow" w:hAnsi="Arial Narrow"/>
                <w:bCs/>
                <w:sz w:val="18"/>
                <w:szCs w:val="18"/>
              </w:rPr>
              <w:t>ФХ</w:t>
            </w:r>
            <w:r w:rsidR="0083757D" w:rsidRPr="00A81E63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ГФ покроет 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100%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потребности пенитенциарного сектора в первы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>й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год (2020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>) и 50% во втором году (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2021), а Правительств</w:t>
            </w:r>
            <w:r w:rsidR="00DD35EC" w:rsidRPr="00A81E63">
              <w:rPr>
                <w:rFonts w:ascii="Arial Narrow" w:hAnsi="Arial Narrow"/>
                <w:bCs/>
                <w:sz w:val="18"/>
                <w:szCs w:val="18"/>
              </w:rPr>
              <w:t>о примет на себя финансирование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начиная с 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50% потребностей в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202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год</w:t>
            </w:r>
            <w:r w:rsidR="00667333" w:rsidRPr="00A81E63">
              <w:rPr>
                <w:rFonts w:ascii="Arial Narrow" w:hAnsi="Arial Narrow"/>
                <w:bCs/>
                <w:sz w:val="18"/>
                <w:szCs w:val="18"/>
              </w:rPr>
              <w:t>у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E63FB5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Поддержка </w:t>
            </w:r>
            <w:r w:rsidR="00E63FB5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мероприятий (миссии)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Комитета зеленого света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63FB5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Ежегодные выплаты Комитету зеленого света включены в бюджет в соответствии с соглашением ГФ/ВОЗ и требованиями ГФ, предъявляемыми к кандидатам.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F5655F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Клинические </w:t>
            </w:r>
            <w:r w:rsidR="00F5655F" w:rsidRPr="00A81E63">
              <w:rPr>
                <w:rFonts w:ascii="Arial Narrow" w:hAnsi="Arial Narrow"/>
                <w:bCs/>
                <w:sz w:val="18"/>
                <w:szCs w:val="18"/>
              </w:rPr>
              <w:t>исследования при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проведени</w:t>
            </w:r>
            <w:r w:rsidR="00F5655F" w:rsidRPr="00A81E63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мониторинга лечения пациентов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F5655F" w:rsidP="00F5655F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Возмещение стоимости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клинических лабораторных исследований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консультаций специалиста (кардиолога) при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проведени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и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мониторинга лечения пациентов с М/ШЛУ-ТБ в пенитенциарном секторе. ГФ покроет потребности в первые два года (2020-2021 гг.), а Правительство примет на себя финансирование, начиная с 2022 года. 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2.2.5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E340A2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Усиление потенциала для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лечени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я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целях обеспечения надлежащей поддержки при реализации пересмотренного руководства по лечению ЛУ-ТБ, в рамках проекта будет предоставлена поддержка в организации учебных курсов для руководителей област</w:t>
            </w:r>
            <w:r w:rsidR="00E340A2" w:rsidRPr="00A81E63">
              <w:rPr>
                <w:rFonts w:ascii="Arial Narrow" w:hAnsi="Arial Narrow"/>
                <w:bCs/>
                <w:sz w:val="18"/>
                <w:szCs w:val="18"/>
              </w:rPr>
              <w:t>ных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противотуберкулезн</w:t>
            </w:r>
            <w:r w:rsidR="00E340A2" w:rsidRPr="00A81E63">
              <w:rPr>
                <w:rFonts w:ascii="Arial Narrow" w:hAnsi="Arial Narrow"/>
                <w:bCs/>
                <w:sz w:val="18"/>
                <w:szCs w:val="18"/>
              </w:rPr>
              <w:t>ых</w:t>
            </w:r>
            <w:r w:rsidR="00047349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учреждений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</w:t>
            </w:r>
            <w:r w:rsidR="00047349" w:rsidRPr="00A81E63">
              <w:rPr>
                <w:rFonts w:ascii="Arial Narrow" w:hAnsi="Arial Narrow"/>
                <w:bCs/>
                <w:sz w:val="18"/>
                <w:szCs w:val="18"/>
              </w:rPr>
              <w:t>ПМСП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включая пенитенциарную систему. Обучение будет проводиться на центральном уровне; всего будет проведено 6 обучающих </w:t>
            </w:r>
            <w:r w:rsidR="00047349" w:rsidRPr="00A81E63">
              <w:rPr>
                <w:rFonts w:ascii="Arial Narrow" w:hAnsi="Arial Narrow"/>
                <w:bCs/>
                <w:sz w:val="18"/>
                <w:szCs w:val="18"/>
              </w:rPr>
              <w:t>курсов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2.2.6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Обновление модуля фармакологического надзора /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Национального реестра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Будет привлечена ИТ-компания для обновления модуля фармакологического надзора 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Национального реестра ТБ.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2.2.7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Национальный консультант по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4734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Будет привлечен национальный консультант на центральном уровне для оказания помощи НПТ в управлении лекарственными средствами с упором на фармакологический надзор 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условиях перехода на новые рекомендуемые схемы лечения ЛУ-ТБ (в течение первых двух лет).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2.2.8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E71D06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Обучение процессам фармакологического надзора и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71D06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ННЦФ организует курсы по обучению инструкторов из числа региональных (областных) сотрудников НПТ процессам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которые в последующем будут проводить каскадное обучение для поставщиков услуг по лечению ТБ в соответствующих регионах. Всего будет проведено обучение для 44 человек из 14 областей и 3 городов (2 обучающих </w:t>
            </w:r>
            <w:r w:rsidR="00E71D06" w:rsidRPr="00A81E63">
              <w:rPr>
                <w:rFonts w:ascii="Arial Narrow" w:hAnsi="Arial Narrow"/>
                <w:bCs/>
                <w:sz w:val="18"/>
                <w:szCs w:val="18"/>
              </w:rPr>
              <w:t>курса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течение 1 года).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2.2.9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E71D06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Обучение использованию модуля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Национального реестра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71D06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ННЦФ организует курсы по обучению инструкторов из числа региональных (областных) сотрудников НПТ</w:t>
            </w:r>
            <w:r w:rsidR="00E71D06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использованию обновленного модуля 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аМБЛ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Национального реестра ТБ, которые в последующем будут проводить каскадное обучение для операторов баз</w:t>
            </w:r>
            <w:r w:rsidR="00E71D06" w:rsidRPr="00A81E6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данных ТБ в соответствующих регионах. Всего будет проведено обучение для 44 человек из 14 областей и 3 городов (2 обучающих </w:t>
            </w:r>
            <w:r w:rsidR="00E71D06" w:rsidRPr="00A81E63">
              <w:rPr>
                <w:rFonts w:ascii="Arial Narrow" w:hAnsi="Arial Narrow"/>
                <w:bCs/>
                <w:sz w:val="18"/>
                <w:szCs w:val="18"/>
              </w:rPr>
              <w:t>курса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течение 2 года).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Предоставление помощи на уровне</w:t>
            </w:r>
            <w:r w:rsidR="002A2F40" w:rsidRPr="00A81E63">
              <w:rPr>
                <w:rFonts w:ascii="Arial Narrow" w:hAnsi="Arial Narrow"/>
                <w:b/>
                <w:sz w:val="18"/>
                <w:szCs w:val="18"/>
              </w:rPr>
              <w:t xml:space="preserve"> сообществ</w:t>
            </w:r>
            <w:r w:rsidRPr="00A81E63">
              <w:rPr>
                <w:rFonts w:ascii="Arial Narrow" w:hAnsi="Arial Narrow"/>
                <w:b/>
                <w:sz w:val="18"/>
                <w:szCs w:val="18"/>
              </w:rPr>
              <w:t xml:space="preserve">: МЛУ-ТБ 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81E63">
              <w:rPr>
                <w:rFonts w:ascii="Arial Narrow" w:hAnsi="Arial Narrow"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i/>
                <w:sz w:val="18"/>
                <w:szCs w:val="18"/>
              </w:rPr>
              <w:tab/>
              <w:t xml:space="preserve"> Туберкулез с множественной лекарственной устойчивостью (МЛУ-ТБ)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Визиты по обмену опытом </w:t>
            </w:r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>для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Национального партнерства «Стоп ТБ»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Платформа Национального партнерства «Стоп ТБ» (НПСТБ) в Казахстане, созданная в рамках текущего гранта ГФ по борьбе с ТБ, получит дополнительную поддержку путем организации обменных визитов </w:t>
            </w:r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>выбранн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ые страны региона, в которых действуют национальные партнерства и/или внедряются другие передовые практики, связанные с общественными организациями и участием гражданского сообщества (организация 2 визитов по 10 человек в течение первых двух лет).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Техническая помощь, заключение социальных контрактов / стоимость услуг НПО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Для расширения сферы действия и возможностей НПСТБ и партнеров в течение первого года будет привлечен внешний консультант для оказания технической помощи </w:t>
            </w:r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связанной с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заключени</w:t>
            </w:r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>ем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социальных контрактов с НПО за счет государственных средств (через местные бюджеты); данное задание будет включать задачу по определению затрат, связанных с предоставлением услуг НПО, что будет способствовать согласованности процессов заключения контрактов.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25422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Адвокационные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>встреч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="003F216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 продвижению социальных контрактов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325422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Будут организованы </w:t>
            </w:r>
            <w:proofErr w:type="spellStart"/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>адвокационные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встречи (рабочие семинары, обсуждения в формате круглого стола) с ключевыми лицами, принимающими решения на центральном и региональном уровне, в целях повышения осведомленности о социальных контрактах и </w:t>
            </w:r>
            <w:r w:rsidR="00325422" w:rsidRPr="00A81E63">
              <w:rPr>
                <w:rFonts w:ascii="Arial Narrow" w:hAnsi="Arial Narrow"/>
                <w:bCs/>
                <w:sz w:val="18"/>
                <w:szCs w:val="18"/>
              </w:rPr>
              <w:t>обяза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нности государственных органов за повсеместное внедрение этого механизма (2 встр</w:t>
            </w:r>
            <w:r w:rsidR="000A0840" w:rsidRPr="00A81E63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чи в год).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8B26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Кампании по распространению информации о борьбе с ТБ на уровне сообществ и социальных контрактах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8B26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Будут организованы коммуникационные кампании для повышения уровня осведомленности о мероприятиях по борьбе с ТБ </w:t>
            </w:r>
            <w:r w:rsidR="008B2684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на уровне сообществ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для уязвимых групп населения, продвижения механизма заключения социальных контрактов, </w:t>
            </w:r>
            <w:proofErr w:type="spellStart"/>
            <w:r w:rsidR="008B2684" w:rsidRPr="00A81E63">
              <w:rPr>
                <w:rFonts w:ascii="Arial Narrow" w:hAnsi="Arial Narrow"/>
                <w:bCs/>
                <w:sz w:val="18"/>
                <w:szCs w:val="18"/>
              </w:rPr>
              <w:t>адвокац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ия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об увеличени</w:t>
            </w:r>
            <w:r w:rsidR="008B2684" w:rsidRPr="00A81E63">
              <w:rPr>
                <w:rFonts w:ascii="Arial Narrow" w:hAnsi="Arial Narrow"/>
                <w:bCs/>
                <w:sz w:val="18"/>
                <w:szCs w:val="18"/>
              </w:rPr>
              <w:t>ю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бюджета и </w:t>
            </w:r>
            <w:r w:rsidR="008B2684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обеспечению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устойчивости на региональном уровне (встречи с лицами, принимающими решения, трансляция видео и радио-роликов, наружная реклама, печатные материалы и т.д.). Две кампании будут проведены в 1-й и 3-й годы.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2.3.5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725B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для НПО по борьбе с ТБ и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725B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для НПО будет организовано НПТ с участием других партнеров. Обучение будет сосредоточено на приоритетных проблемах, связанных с ТБ, в целевых группах, современных подходах к поддержке пациентов и роли гражданского общества и местных субъектов в обеспечении соблюдения режима лечения и других видов поддержки в условиях внедрения модели оказания помощи в лечении ТБ, основанной на амбулаторном лечении и подходах, ориентированных на пациентов (2 обучающих курса в первый год и 1 курс во второ</w:t>
            </w:r>
            <w:r w:rsidR="00A725B0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м и третьем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год</w:t>
            </w:r>
            <w:r w:rsidR="00A725B0" w:rsidRPr="00A81E63">
              <w:rPr>
                <w:rFonts w:ascii="Arial Narrow" w:hAnsi="Arial Narrow"/>
                <w:bCs/>
                <w:sz w:val="18"/>
                <w:szCs w:val="18"/>
              </w:rPr>
              <w:t>ах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на центральном уровне).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2.3.6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A725B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для НПО по организационному развитию, стратегическому планированию и управлению проектами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A725B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Обучение для НПО будет организовано </w:t>
            </w:r>
            <w:r w:rsidR="00F5205D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НПТ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с участием других партнеров и будет сосредоточено на укреплении потенциала НПО в области организационного развития; разработки, реализации, мониторинга и оценки проектов; коммуникации и отчетности (2 учебных курса в течение первых двух лет на центральном уровне).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2.3.7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B642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Программа грантов НПО</w:t>
            </w:r>
          </w:p>
          <w:p w:rsidR="003F2160" w:rsidRPr="00A81E63" w:rsidRDefault="003F2160" w:rsidP="00B642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B642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рамках проекта будет оказана поддержка в получении 45 небольших грантов НПО: Год 1 - 20 грантов, год 2 –15 грантов, Год 3 – 10 грантов, полагаясь при этом на последующее участие государства посредством заключения социальных контрактов. Гранты, выделенные для НПО, будут реализованы в разных регионах страны и будут включать широкий спектр мероприятий, направленных на: (i) внедрение новаторских подходов, ориентированных на людей и пациентов, для совершенствования процессов выявления случаев ТБ, 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обеспечения приверженности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, прослеживания контактов и профилактики в неблагополучных 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сообществах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; (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ii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>) поддержку в выявлении случаев ТБ и ЛУ-ТБ, ведении случаев заболевания и профилактике среди уязвимых и социально-неблагополучных групп населения, таких как ЛЖВ, ПИН, мигранты, заключенные, бывшие заключенные и бездомные; и (</w:t>
            </w:r>
            <w:proofErr w:type="spellStart"/>
            <w:r w:rsidRPr="00A81E63">
              <w:rPr>
                <w:rFonts w:ascii="Arial Narrow" w:hAnsi="Arial Narrow"/>
                <w:bCs/>
                <w:sz w:val="18"/>
                <w:szCs w:val="18"/>
              </w:rPr>
              <w:t>iii</w:t>
            </w:r>
            <w:proofErr w:type="spellEnd"/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) устранение правовых барьеров касательно оказания медицинской помощи, прав человека, пола, 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стигмы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других факторов, ограничивающих доступ к услугам.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2.3.8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B642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Мониторинг реализации грантов НПО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B64284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Мониторинговые визиты в регионы и проект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будут проводиться сотрудниками по мониторингу и оценке Основного реципиента и НПТ для оценки хода реализации грантов, качества услуг и удовлетворенности пользователей, а также выявления проблем и мер, необходимых для их решения (2 визита 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кажд</w:t>
            </w:r>
            <w:r w:rsidR="00B64284" w:rsidRPr="00A81E63">
              <w:rPr>
                <w:rFonts w:ascii="Arial Narrow" w:hAnsi="Arial Narrow"/>
                <w:bCs/>
                <w:sz w:val="18"/>
                <w:szCs w:val="18"/>
              </w:rPr>
              <w:t>ый проект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в год).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EB4245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Визиты </w:t>
            </w:r>
            <w:r w:rsidR="00EB4245" w:rsidRPr="00A81E63">
              <w:rPr>
                <w:rFonts w:ascii="Arial Narrow" w:hAnsi="Arial Narrow"/>
                <w:bCs/>
                <w:sz w:val="18"/>
                <w:szCs w:val="18"/>
              </w:rPr>
              <w:t>по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обмен</w:t>
            </w:r>
            <w:r w:rsidR="00EB4245" w:rsidRPr="00A81E63">
              <w:rPr>
                <w:rFonts w:ascii="Arial Narrow" w:hAnsi="Arial Narrow"/>
                <w:bCs/>
                <w:sz w:val="18"/>
                <w:szCs w:val="18"/>
              </w:rPr>
              <w:t>у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опытом между НПО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B4245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Будут организованы обменные визиты между различными НПО с целью проведения экспертной оценки и обмена опытом (2 визита в год в течение первых двух лет).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2.3.10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CE7A7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Обновление базы данных НПО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B4245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База данных клиентов НПО, которая </w:t>
            </w:r>
            <w:r w:rsidR="00EB4245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будет создана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рамках текущего проекта ГФ по борьбе с ТБ, будет поддерживаться и регулярно обновляться для обеспечения получения надежн</w:t>
            </w:r>
            <w:r w:rsidR="00EB4245" w:rsidRPr="00A81E63">
              <w:rPr>
                <w:rFonts w:ascii="Arial Narrow" w:hAnsi="Arial Narrow"/>
                <w:bCs/>
                <w:sz w:val="18"/>
                <w:szCs w:val="18"/>
              </w:rPr>
              <w:t>ой отчетности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о клиентах, проведения эффективного мониторинга и оценки услуг, предоставляемых в рамках реализации грантов (Год 1).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2.3.11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CE7A7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использованию базы данных НПО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D46C8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Для персонала НПО - получателей грантов будет проведено соответствующее обучение </w:t>
            </w:r>
            <w:r w:rsidR="00B87D4D" w:rsidRPr="00A81E63">
              <w:rPr>
                <w:rFonts w:ascii="Arial Narrow" w:hAnsi="Arial Narrow"/>
                <w:bCs/>
                <w:sz w:val="18"/>
                <w:szCs w:val="18"/>
              </w:rPr>
              <w:t>в области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управлени</w:t>
            </w:r>
            <w:r w:rsidR="00B87D4D" w:rsidRPr="00A81E63">
              <w:rPr>
                <w:rFonts w:ascii="Arial Narrow" w:hAnsi="Arial Narrow"/>
                <w:bCs/>
                <w:sz w:val="18"/>
                <w:szCs w:val="18"/>
              </w:rPr>
              <w:t>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46C8E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базой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данны</w:t>
            </w:r>
            <w:r w:rsidR="00D46C8E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х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клиентов</w:t>
            </w:r>
            <w:r w:rsidR="00D46C8E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проектов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. В течение второго года будет организовано обучение для двух представителей от каждой организации-исполнителя.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2.3.12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D46C8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Национальная конференция по ТБ 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D46C8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последний год реализации проекта будет организована национальная конференция по ТБ с участием всех партнеров, активно участвующих в борьбе с ТБ (представители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правительственных учреждений и государственных служб, неправительственных организаций и международных учреждений). На конференции будет обсуждаться и анализироваться прогресс, достигнутый в рамках реализации национальной программы борьбы с ТБ, при этом особое внимание будет уделено обмену инновационным опытом в регионах страны и определению возможностей осуществления дальнейших действий совместно с местными органами власти, гражданским обществом и частным сектором. Конференция станет площадкой для представления результатов реализации программы предоставления небольших грантов НПО и планирования будущих действий для перехода и устойчивого развития.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 xml:space="preserve">Другие </w:t>
            </w:r>
            <w:r w:rsidR="00D46C8E" w:rsidRPr="00A81E63">
              <w:rPr>
                <w:rFonts w:ascii="Arial Narrow" w:hAnsi="Arial Narrow"/>
                <w:b/>
                <w:sz w:val="18"/>
                <w:szCs w:val="18"/>
              </w:rPr>
              <w:t>интервенции</w:t>
            </w:r>
            <w:r w:rsidRPr="00A81E63">
              <w:rPr>
                <w:rFonts w:ascii="Arial Narrow" w:hAnsi="Arial Narrow"/>
                <w:b/>
                <w:sz w:val="18"/>
                <w:szCs w:val="18"/>
              </w:rPr>
              <w:t>, связанные с МЛУ-ТБ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81E63">
              <w:rPr>
                <w:rFonts w:ascii="Arial Narrow" w:hAnsi="Arial Narrow"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i/>
                <w:sz w:val="18"/>
                <w:szCs w:val="18"/>
              </w:rPr>
              <w:tab/>
              <w:t xml:space="preserve"> Туберкулез с множественной лекарственной устойчивостью (МЛУ-ТБ)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D46C8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Национальный консультант, в области АКСМ 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D46C8E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Национальный консультант будет оказывать техническую помощь НПТ и партнерам в разработке кампаний по обеспечению общественной осведомленности, в разработке и предварительном тестировании информационных и образовательных материалов (ИОМ), получении соответствующих одобрений в органах власти, содействии и мониторинге реализации, а также в обеспечении соответствующей коммуникации в социальных сетях.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2.4.2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B03FD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Исследование «Знание, отношение и практика в отношении ТБ»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B03FD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течение 1-го года будет проведено исследование «Знание, отношение и практика в отношении ТБ» (ЗОП) для оценки ситуации и информирования о дальнейших действиях.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2.4.3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B03FD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Техническая помощь, разработка Национального плана по АКСМ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B03FD9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На основе результатов исследования ЗОП при поддержке внешнего консультанта будет разработан Национальный план АКСМ на 2021-2025 годы (</w:t>
            </w:r>
            <w:r w:rsidR="00B03FD9" w:rsidRPr="00A81E63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кон</w:t>
            </w:r>
            <w:r w:rsidR="00B03FD9" w:rsidRPr="00A81E63">
              <w:rPr>
                <w:rFonts w:ascii="Arial Narrow" w:hAnsi="Arial Narrow"/>
                <w:bCs/>
                <w:sz w:val="18"/>
                <w:szCs w:val="18"/>
              </w:rPr>
              <w:t>це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первого года).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2.4.4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8C3DA3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Разработка Плана предотвращения </w:t>
            </w:r>
            <w:r w:rsidR="008C3DA3" w:rsidRPr="00A81E63">
              <w:rPr>
                <w:rFonts w:ascii="Arial Narrow" w:hAnsi="Arial Narrow"/>
                <w:bCs/>
                <w:sz w:val="18"/>
                <w:szCs w:val="18"/>
              </w:rPr>
              <w:t>стигмы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дискриминации в отношении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8C3DA3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В течение второго года получит внешнюю техническую помощь в разработке многосекторального Плана </w:t>
            </w:r>
            <w:r w:rsidR="008C3DA3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по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>снижени</w:t>
            </w:r>
            <w:r w:rsidR="008C3DA3" w:rsidRPr="00A81E63">
              <w:rPr>
                <w:rFonts w:ascii="Arial Narrow" w:hAnsi="Arial Narrow"/>
                <w:bCs/>
                <w:sz w:val="18"/>
                <w:szCs w:val="18"/>
              </w:rPr>
              <w:t>ю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предотвращени</w:t>
            </w:r>
            <w:r w:rsidR="008C3DA3" w:rsidRPr="00A81E63">
              <w:rPr>
                <w:rFonts w:ascii="Arial Narrow" w:hAnsi="Arial Narrow"/>
                <w:bCs/>
                <w:sz w:val="18"/>
                <w:szCs w:val="18"/>
              </w:rPr>
              <w:t>ю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C3DA3" w:rsidRPr="00A81E63">
              <w:rPr>
                <w:rFonts w:ascii="Arial Narrow" w:hAnsi="Arial Narrow"/>
                <w:bCs/>
                <w:sz w:val="18"/>
                <w:szCs w:val="18"/>
              </w:rPr>
              <w:t>стигмы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и дискриминации в отношении ТБ, в котором, в частности, будут определены изменения, которые должны быть внесены в различные нормативно-правовые акты для устранения и/или предотвращения дискриминационной практики.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2.4.5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EF4173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Печатные информационно-образовательные материалы по профилактике и лечению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EF4173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Будет разработан и распространен пакет информационных и образовательных материалов для профилактики и лечения ЛУ-ТБ в соответствии с целями национальной программы борьбы с ТБ и на основе результатов исследовани</w:t>
            </w:r>
            <w:r w:rsidR="00EF4173" w:rsidRPr="00A81E63">
              <w:rPr>
                <w:rFonts w:ascii="Arial Narrow" w:hAnsi="Arial Narrow"/>
                <w:bCs/>
                <w:sz w:val="18"/>
                <w:szCs w:val="18"/>
              </w:rPr>
              <w:t xml:space="preserve">я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ЗОП. Этот пакет материалов будет включать рекомендации для пациентов и их семей; печатные информационно-образовательные материалы для уязвимых групп населения, таких как ЛЖВ, заключенные, сезонные трудовые мигранты, бездомные и т. д.; рекомендации для социальных работников, психологов, </w:t>
            </w:r>
            <w:r w:rsidR="00EF4173" w:rsidRPr="00A81E63">
              <w:rPr>
                <w:rFonts w:ascii="Arial Narrow" w:hAnsi="Arial Narrow"/>
                <w:bCs/>
                <w:sz w:val="18"/>
                <w:szCs w:val="18"/>
              </w:rPr>
              <w:t>персонала ПМСП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; а также различные материалы, предназначенные для продвижения новых методов диагностики и лечения ТБ, с упором на необходимость завершения лечения и исключения лекарственной устойчивости. 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2.4.6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5A1EA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Аудио и видео информационно-образовательные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материалы по профилактике и лечению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5A1EA0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В рамках проекта будет оказана поддержка в производстве теле- и радио-роликов, направленных на повышение осведомленности населения о ТБ и ТБ/ВИЧ, при этом особое внимание будет уделено доступу к услугам, наличию инновационных методов диагностики 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и лечения, а также необходимости осуществления мер профилактики лекарственной устойчивости.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lastRenderedPageBreak/>
              <w:t>2.4.7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Трансляция теле- и радио-роликов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Теле- и радио-ролики будут транслироваться в местных и национальных СМИ.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2.4.8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Обучение для представителей СМИ по профилактике и лечению ТБ и ЛУ-ТБ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Проект предоставит журналистам, работающим в основных СМИ (включая печатные, электронные и социальные сети), своевременную и надежную информацию о ТБ и борьбе с ним в масштабе всей страны и на местном уровне. Для этого в течение каждого года реализации проекта для представителей СМИ будут организованы учебные </w:t>
            </w:r>
            <w:r w:rsidR="00076B9B" w:rsidRPr="00A81E63">
              <w:rPr>
                <w:rFonts w:ascii="Arial Narrow" w:hAnsi="Arial Narrow"/>
                <w:bCs/>
                <w:sz w:val="18"/>
                <w:szCs w:val="18"/>
              </w:rPr>
              <w:t>курсы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по профилактике и лечению ТБ и ЛУ-ТБ.</w:t>
            </w: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Ежегодный конкурс для журналистов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В рамках проекта будут проводиться ежегодные конкурсы для журналистов, которые будут награждены за лучшие публикации и программы по вопросам ТБ.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2.4.10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Рабочие семинары по вопросам ТБ на центральном уровне по случаю Всемирного дня борьбы против ТБ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24 марта будут проведены информационные семинары по проблемам ТБ на центральном уровне в рамках Всемирн</w:t>
            </w:r>
            <w:r w:rsidR="00076B9B" w:rsidRPr="00A81E63">
              <w:rPr>
                <w:rFonts w:ascii="Arial Narrow" w:hAnsi="Arial Narrow"/>
                <w:bCs/>
                <w:sz w:val="18"/>
                <w:szCs w:val="18"/>
              </w:rPr>
              <w:t>ого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дн</w:t>
            </w:r>
            <w:r w:rsidR="00076B9B" w:rsidRPr="00A81E63">
              <w:rPr>
                <w:rFonts w:ascii="Arial Narrow" w:hAnsi="Arial Narrow"/>
                <w:bCs/>
                <w:sz w:val="18"/>
                <w:szCs w:val="18"/>
              </w:rPr>
              <w:t>я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борьбы с ТБ, в целях повышения уровня осведомленности и </w:t>
            </w:r>
            <w:r w:rsidR="00076B9B" w:rsidRPr="00A81E63">
              <w:rPr>
                <w:rFonts w:ascii="Arial Narrow" w:hAnsi="Arial Narrow"/>
                <w:bCs/>
                <w:sz w:val="18"/>
                <w:szCs w:val="18"/>
              </w:rPr>
              <w:t>обязательств</w:t>
            </w:r>
            <w:r w:rsidRPr="00A81E63">
              <w:rPr>
                <w:rFonts w:ascii="Arial Narrow" w:hAnsi="Arial Narrow"/>
                <w:bCs/>
                <w:sz w:val="18"/>
                <w:szCs w:val="18"/>
              </w:rPr>
              <w:t xml:space="preserve"> государственных органов, а также для улучшения сотрудничества и координации между различными субъектами, включая гражданское общество и СМИ.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81E63" w:rsidRPr="00A81E63" w:rsidTr="000E3352">
        <w:tc>
          <w:tcPr>
            <w:tcW w:w="533" w:type="dxa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</w:rPr>
            </w:pPr>
            <w:r w:rsidRPr="00A81E63">
              <w:rPr>
                <w:rFonts w:ascii="Arial Narrow" w:hAnsi="Arial Narrow"/>
              </w:rPr>
              <w:t>3</w:t>
            </w:r>
          </w:p>
        </w:tc>
        <w:tc>
          <w:tcPr>
            <w:tcW w:w="13352" w:type="dxa"/>
            <w:gridSpan w:val="14"/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3F2160" w:rsidRPr="00A81E63" w:rsidRDefault="003F2160" w:rsidP="00076B9B">
            <w:pPr>
              <w:spacing w:before="40" w:after="40" w:line="240" w:lineRule="auto"/>
              <w:rPr>
                <w:rFonts w:ascii="Arial Narrow" w:hAnsi="Arial Narrow" w:cs="Times New Roman"/>
                <w:b/>
              </w:rPr>
            </w:pPr>
            <w:r w:rsidRPr="00A81E63">
              <w:rPr>
                <w:rFonts w:ascii="Arial Narrow" w:hAnsi="Arial Narrow"/>
                <w:b/>
              </w:rPr>
              <w:t>Управление грант</w:t>
            </w:r>
            <w:r w:rsidR="00076B9B" w:rsidRPr="00A81E63">
              <w:rPr>
                <w:rFonts w:ascii="Arial Narrow" w:hAnsi="Arial Narrow"/>
                <w:b/>
              </w:rPr>
              <w:t>ом</w:t>
            </w:r>
          </w:p>
        </w:tc>
      </w:tr>
      <w:tr w:rsidR="00A81E63" w:rsidRPr="00A81E63" w:rsidTr="00F5655F">
        <w:tc>
          <w:tcPr>
            <w:tcW w:w="533" w:type="dxa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3.1</w:t>
            </w:r>
          </w:p>
        </w:tc>
        <w:tc>
          <w:tcPr>
            <w:tcW w:w="8391" w:type="dxa"/>
            <w:gridSpan w:val="2"/>
            <w:shd w:val="clear" w:color="auto" w:fill="FFFF99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81E63">
              <w:rPr>
                <w:rFonts w:ascii="Arial Narrow" w:hAnsi="Arial Narrow"/>
                <w:b/>
                <w:sz w:val="18"/>
                <w:szCs w:val="18"/>
              </w:rPr>
              <w:t>Управление грантами</w:t>
            </w:r>
          </w:p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A81E63">
              <w:rPr>
                <w:rFonts w:ascii="Arial Narrow" w:hAnsi="Arial Narrow"/>
                <w:i/>
                <w:sz w:val="18"/>
                <w:szCs w:val="18"/>
              </w:rPr>
              <w:t>Модуль:</w:t>
            </w:r>
            <w:r w:rsidRPr="00A81E63">
              <w:rPr>
                <w:rFonts w:ascii="Arial Narrow" w:hAnsi="Arial Narrow"/>
                <w:i/>
                <w:sz w:val="18"/>
                <w:szCs w:val="18"/>
              </w:rPr>
              <w:tab/>
              <w:t xml:space="preserve"> Управление программами</w:t>
            </w: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81E63" w:rsidRPr="00A81E63" w:rsidTr="00F5655F">
        <w:tc>
          <w:tcPr>
            <w:tcW w:w="533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3.1.1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3F2160" w:rsidRPr="00A81E63" w:rsidRDefault="003F2160" w:rsidP="00DC3DD1">
            <w:pPr>
              <w:spacing w:before="40" w:after="4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Cs/>
                <w:sz w:val="18"/>
                <w:szCs w:val="18"/>
              </w:rPr>
              <w:t>Расходы Основного реципиента (ННЦФ):</w:t>
            </w:r>
          </w:p>
          <w:p w:rsidR="003F2160" w:rsidRPr="00A81E63" w:rsidRDefault="003F2160" w:rsidP="003F2160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Arial Narrow" w:hAnsi="Arial Narrow" w:cs="Times New Roman"/>
                <w:b w:val="0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 w:val="0"/>
                <w:bCs/>
                <w:sz w:val="18"/>
                <w:szCs w:val="18"/>
              </w:rPr>
              <w:t>Персонал: оклад, социальные налоги, расходы на страхование и прочие затраты на персонал</w:t>
            </w:r>
          </w:p>
          <w:p w:rsidR="003F2160" w:rsidRPr="00A81E63" w:rsidRDefault="003F2160" w:rsidP="00076B9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Arial Narrow" w:hAnsi="Arial Narrow" w:cs="Times New Roman"/>
                <w:b w:val="0"/>
                <w:bCs/>
                <w:sz w:val="18"/>
                <w:szCs w:val="18"/>
              </w:rPr>
            </w:pPr>
            <w:r w:rsidRPr="00A81E63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Мониторинг проекта и эксплуатационные расходы: </w:t>
            </w:r>
            <w:r w:rsidR="00076B9B" w:rsidRPr="00A81E63">
              <w:rPr>
                <w:rFonts w:ascii="Arial Narrow" w:hAnsi="Arial Narrow"/>
                <w:b w:val="0"/>
                <w:bCs/>
                <w:sz w:val="18"/>
                <w:szCs w:val="18"/>
              </w:rPr>
              <w:t>операционные</w:t>
            </w:r>
            <w:r w:rsidRPr="00A81E63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расходы на офис, транспортные средства, аудит и транспортные расходы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F2160" w:rsidRPr="00A81E63" w:rsidRDefault="003F2160" w:rsidP="00DC3DD1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:rsidR="003F2160" w:rsidRPr="00A81E63" w:rsidRDefault="003F2160" w:rsidP="003F2160">
      <w:pPr>
        <w:rPr>
          <w:rFonts w:ascii="Times New Roman" w:hAnsi="Times New Roman" w:cs="Times New Roman"/>
        </w:rPr>
      </w:pPr>
    </w:p>
    <w:p w:rsidR="003F2160" w:rsidRPr="00A81E63" w:rsidRDefault="003F2160" w:rsidP="00B41409">
      <w:pPr>
        <w:jc w:val="center"/>
        <w:rPr>
          <w:rFonts w:ascii="Arial" w:hAnsi="Arial"/>
          <w:b/>
          <w:sz w:val="20"/>
          <w:szCs w:val="20"/>
        </w:rPr>
        <w:sectPr w:rsidR="003F2160" w:rsidRPr="00A81E63" w:rsidSect="00DC3DD1">
          <w:pgSz w:w="16838" w:h="11906" w:orient="landscape" w:code="9"/>
          <w:pgMar w:top="1134" w:right="1418" w:bottom="1134" w:left="1418" w:header="709" w:footer="692" w:gutter="0"/>
          <w:cols w:space="708"/>
          <w:docGrid w:linePitch="360"/>
        </w:sectPr>
      </w:pPr>
      <w:r w:rsidRPr="00A81E63">
        <w:rPr>
          <w:rFonts w:ascii="Times New Roman" w:hAnsi="Times New Roman"/>
        </w:rPr>
        <w:t>*</w:t>
      </w:r>
      <w:r w:rsidRPr="00A81E63">
        <w:rPr>
          <w:rFonts w:ascii="Times New Roman" w:hAnsi="Times New Roman"/>
        </w:rPr>
        <w:tab/>
      </w:r>
      <w:r w:rsidRPr="00A81E63">
        <w:rPr>
          <w:rFonts w:ascii="Times New Roman" w:hAnsi="Times New Roman"/>
        </w:rPr>
        <w:tab/>
        <w:t>*</w:t>
      </w:r>
      <w:r w:rsidRPr="00A81E63">
        <w:rPr>
          <w:rFonts w:ascii="Times New Roman" w:hAnsi="Times New Roman"/>
        </w:rPr>
        <w:tab/>
      </w:r>
      <w:r w:rsidRPr="00A81E63">
        <w:rPr>
          <w:rFonts w:ascii="Times New Roman" w:hAnsi="Times New Roman"/>
        </w:rPr>
        <w:tab/>
        <w:t>*</w:t>
      </w:r>
    </w:p>
    <w:p w:rsidR="003F2160" w:rsidRDefault="003F2160" w:rsidP="003F2160">
      <w:pPr>
        <w:spacing w:after="120" w:line="240" w:lineRule="auto"/>
        <w:rPr>
          <w:rFonts w:ascii="Arial" w:hAnsi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898"/>
      </w:tblGrid>
      <w:tr w:rsidR="003F2160" w:rsidRPr="00B87D4D" w:rsidTr="00DC3DD1">
        <w:trPr>
          <w:trHeight w:val="409"/>
          <w:jc w:val="center"/>
        </w:trPr>
        <w:tc>
          <w:tcPr>
            <w:tcW w:w="8898" w:type="dxa"/>
            <w:shd w:val="clear" w:color="auto" w:fill="1F497D"/>
            <w:vAlign w:val="center"/>
          </w:tcPr>
          <w:p w:rsidR="003F2160" w:rsidRPr="00B87D4D" w:rsidRDefault="003F2160" w:rsidP="00DC3DD1">
            <w:pPr>
              <w:spacing w:after="0" w:line="240" w:lineRule="auto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РАЗДЕЛ 3: РЕАЛИЗАЦИИ И СМЯГЧЕНИЕ РИСКОВ</w:t>
            </w:r>
          </w:p>
        </w:tc>
      </w:tr>
      <w:tr w:rsidR="003F2160" w:rsidRPr="00C53B9C" w:rsidTr="00DC3DD1">
        <w:trPr>
          <w:trHeight w:val="1089"/>
          <w:jc w:val="center"/>
        </w:trPr>
        <w:tc>
          <w:tcPr>
            <w:tcW w:w="8898" w:type="dxa"/>
            <w:shd w:val="clear" w:color="auto" w:fill="F2F2F2" w:themeFill="background1" w:themeFillShade="F2"/>
            <w:vAlign w:val="center"/>
          </w:tcPr>
          <w:p w:rsidR="003F2160" w:rsidRPr="00C53B9C" w:rsidRDefault="003F2160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В этом разделе опишите условия реализации и прогнозируемые риски, имеющие отношение к предлагаемым программам.</w:t>
            </w:r>
          </w:p>
          <w:p w:rsidR="003F2160" w:rsidRPr="00C53B9C" w:rsidRDefault="003F2160" w:rsidP="00DC3DD1">
            <w:pPr>
              <w:keepNext/>
              <w:keepLines/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При составлении ответа используйте дополнительные руководящие указания, приведенные в 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Инструкциях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</w:tc>
      </w:tr>
    </w:tbl>
    <w:p w:rsidR="003F2160" w:rsidRPr="00C53B9C" w:rsidRDefault="003F2160" w:rsidP="003F2160">
      <w:pPr>
        <w:spacing w:after="0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975"/>
        <w:gridCol w:w="1957"/>
      </w:tblGrid>
      <w:tr w:rsidR="003F2160" w:rsidRPr="00B87D4D" w:rsidTr="00DC3DD1">
        <w:trPr>
          <w:trHeight w:val="274"/>
          <w:jc w:val="center"/>
        </w:trPr>
        <w:tc>
          <w:tcPr>
            <w:tcW w:w="8932" w:type="dxa"/>
            <w:gridSpan w:val="2"/>
            <w:shd w:val="clear" w:color="auto" w:fill="C6D9F1" w:themeFill="text2" w:themeFillTint="33"/>
          </w:tcPr>
          <w:p w:rsidR="003F2160" w:rsidRPr="00B87D4D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bCs/>
                <w:sz w:val="20"/>
                <w:szCs w:val="20"/>
              </w:rPr>
              <w:t xml:space="preserve">3.1 </w:t>
            </w:r>
            <w:r w:rsidRPr="00B87D4D">
              <w:rPr>
                <w:rFonts w:ascii="Arial" w:hAnsi="Arial"/>
                <w:b/>
                <w:bCs/>
                <w:sz w:val="20"/>
                <w:szCs w:val="20"/>
              </w:rPr>
              <w:tab/>
              <w:t>Краткое описание условий реализации</w:t>
            </w:r>
          </w:p>
        </w:tc>
      </w:tr>
      <w:tr w:rsidR="003F2160" w:rsidRPr="00C53B9C" w:rsidTr="00DC3DD1">
        <w:trPr>
          <w:trHeight w:val="688"/>
          <w:jc w:val="center"/>
        </w:trPr>
        <w:tc>
          <w:tcPr>
            <w:tcW w:w="6975" w:type="dxa"/>
            <w:shd w:val="clear" w:color="auto" w:fill="F2F2F2" w:themeFill="background1" w:themeFillShade="F2"/>
          </w:tcPr>
          <w:p w:rsidR="003F2160" w:rsidRPr="00C53B9C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Предлагаете ли вы внесение существенных изменений в условия реализации по сравнению с предыдущими периодами, например, применительно к основным исполнителям или потокам денежных средств или материальных ресурсов?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F2160" w:rsidRPr="00C53B9C" w:rsidRDefault="00EB30C0" w:rsidP="00DC3DD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-20088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87D4D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-12844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3F2160" w:rsidRPr="00C53B9C" w:rsidTr="00DC3DD1">
        <w:trPr>
          <w:trHeight w:val="2101"/>
          <w:jc w:val="center"/>
        </w:trPr>
        <w:tc>
          <w:tcPr>
            <w:tcW w:w="8932" w:type="dxa"/>
            <w:gridSpan w:val="2"/>
            <w:shd w:val="clear" w:color="auto" w:fill="F2F2F2" w:themeFill="background1" w:themeFillShade="F2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sz w:val="20"/>
                <w:szCs w:val="20"/>
              </w:rPr>
              <w:t xml:space="preserve">Если да, </w:t>
            </w:r>
          </w:p>
          <w:p w:rsidR="003F2160" w:rsidRPr="00C53B9C" w:rsidRDefault="003F2160" w:rsidP="003F216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Опишите причины и основные изменения условий реализации по сравнению с предыдущими периодами, чтобы получить представление о применении условий реализации грантов. Вы можете предоставить обновленную </w:t>
            </w:r>
            <w:r>
              <w:rPr>
                <w:rFonts w:ascii="Arial" w:hAnsi="Arial"/>
                <w:sz w:val="20"/>
                <w:szCs w:val="20"/>
              </w:rPr>
              <w:t>Схему условий реализации;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  <w:p w:rsidR="003F2160" w:rsidRPr="00C53B9C" w:rsidRDefault="003F2160" w:rsidP="003F216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Подробно изложите, как представители женских организаций, основных затронутых групп населения и людей, живущих с заболеваниями, в соответствующих случаях, будут активно участвовать в реализации настоящего запроса на финансирование; </w:t>
            </w:r>
          </w:p>
          <w:p w:rsidR="003F2160" w:rsidRPr="00C53B9C" w:rsidRDefault="003F2160" w:rsidP="003F216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Включите описание механизмов закупок для гранта (грантов).</w:t>
            </w:r>
          </w:p>
        </w:tc>
      </w:tr>
    </w:tbl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  <w:color w:val="FF0000"/>
          <w:sz w:val="8"/>
          <w:szCs w:val="8"/>
        </w:rPr>
      </w:pP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Страновой координационный комитет (СКК) по ВИЧ и ТБ контролирует общий процесс реализации грантов ГФ и обеспечивает надлежащую координацию между различными секторами, а также различными программами, реализуемыми другими внешними партнерами. СКК продолжит осуществление контроля за ходом реализации гранта для обеспечения выполнения мероприятий в соответствии с рабочим планом и достижения показателей работы программы и финансовой деятельности. СКК будет принимать ключевые финансовые и программные решения, а также примет на себя ответственность за урегулирование основных проблем, связанных с грантом. Заседания СКК будут проводиться раз в квартал или чаще, если это необходимо. СКК и Министерство здравоохранения будут осуществлять функцию координации с другими программами и инициативами по развитию.</w:t>
      </w: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9 ноября 2018 года СКК одобрил </w:t>
      </w:r>
      <w:r w:rsidR="00E27355">
        <w:rPr>
          <w:rFonts w:ascii="Arial" w:hAnsi="Arial"/>
        </w:rPr>
        <w:t xml:space="preserve">продолжение исполнения </w:t>
      </w:r>
      <w:r>
        <w:rPr>
          <w:rFonts w:ascii="Arial" w:hAnsi="Arial"/>
        </w:rPr>
        <w:t>Национальн</w:t>
      </w:r>
      <w:r w:rsidR="00E27355">
        <w:rPr>
          <w:rFonts w:ascii="Arial" w:hAnsi="Arial"/>
        </w:rPr>
        <w:t>ым</w:t>
      </w:r>
      <w:r>
        <w:rPr>
          <w:rFonts w:ascii="Arial" w:hAnsi="Arial"/>
        </w:rPr>
        <w:t xml:space="preserve"> научн</w:t>
      </w:r>
      <w:r w:rsidR="00E27355">
        <w:rPr>
          <w:rFonts w:ascii="Arial" w:hAnsi="Arial"/>
        </w:rPr>
        <w:t>ым</w:t>
      </w:r>
      <w:r>
        <w:rPr>
          <w:rFonts w:ascii="Arial" w:hAnsi="Arial"/>
        </w:rPr>
        <w:t xml:space="preserve"> центр</w:t>
      </w:r>
      <w:r w:rsidR="00E27355">
        <w:rPr>
          <w:rFonts w:ascii="Arial" w:hAnsi="Arial"/>
        </w:rPr>
        <w:t>ом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фтизиопульмонологии</w:t>
      </w:r>
      <w:proofErr w:type="spellEnd"/>
      <w:r>
        <w:rPr>
          <w:rFonts w:ascii="Arial" w:hAnsi="Arial"/>
        </w:rPr>
        <w:t xml:space="preserve"> (ННЦФ) Министерства здравоохранения Республики Казахстан своей текущей роли в качестве Основного реципиента (ОР) гранта по борьбе с ТБ</w:t>
      </w:r>
      <w:r w:rsidR="00E27355">
        <w:rPr>
          <w:rFonts w:ascii="Arial" w:hAnsi="Arial"/>
        </w:rPr>
        <w:t xml:space="preserve"> и для нового гранта</w:t>
      </w:r>
      <w:r>
        <w:rPr>
          <w:rFonts w:ascii="Arial" w:hAnsi="Arial"/>
        </w:rPr>
        <w:t>. ОР будет осуществлять процедуры в соответствии с требованиями ГФ и национального законодательства. Средства гранта будут зачислены на специальный счет ОР. ОР будет отвечать за все практические вопросы, связанные с реализацией гранта, включая надзор за действиями субподрядчиков. ОР будет выполнять функции по закупке товаров и услуг, управлению финансами, мониторингу реализации гранта и представлению отчетности в ГФ.</w:t>
      </w: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ОР разработает планы работ по реализации гранта и представит в СКК отчеты о ходе выполнения работ и финансовых показателях. СКК будет ежегодно проверять показатели эффективности реализации гранта и утверждать планы работ на следующий год, а также дополнительные выплаты.</w:t>
      </w: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Основные изменения по сравнению с предыдущими механизмами реализации связаны, главным образом, с уменьшением размера финансирования, выделяемого на борьбу с ТБ в Казахстане, по сравнению с предыдущим периодом финансирования, что приводит к сокращению масштаба нового проекта и установлению приоритетных направлений </w:t>
      </w:r>
      <w:r>
        <w:rPr>
          <w:rFonts w:ascii="Arial" w:hAnsi="Arial"/>
        </w:rPr>
        <w:lastRenderedPageBreak/>
        <w:t xml:space="preserve">деятельности. В частности, для нового гранта не предусмотрены </w:t>
      </w:r>
      <w:proofErr w:type="spellStart"/>
      <w:r>
        <w:rPr>
          <w:rFonts w:ascii="Arial" w:hAnsi="Arial"/>
        </w:rPr>
        <w:t>Субреципиенты</w:t>
      </w:r>
      <w:proofErr w:type="spellEnd"/>
      <w:r>
        <w:rPr>
          <w:rFonts w:ascii="Arial" w:hAnsi="Arial"/>
        </w:rPr>
        <w:t xml:space="preserve"> (СР), поэтому ОР будет нести ответственность за надзор и координацию действий партнеров-исполнителей, включая неправительственных партнеров, по программе предоставления небольших грантов НПО в рамках </w:t>
      </w:r>
      <w:r w:rsidR="00E27355">
        <w:rPr>
          <w:rFonts w:ascii="Arial" w:hAnsi="Arial"/>
        </w:rPr>
        <w:t>Интервенции</w:t>
      </w:r>
      <w:r>
        <w:rPr>
          <w:rFonts w:ascii="Arial" w:hAnsi="Arial"/>
        </w:rPr>
        <w:t xml:space="preserve"> 2.3. Механизмы управления и контроля грантов будут упрощены и оптимизированы, т.е. предстоящий проект предусматривает сокращение численности персонала и другие показатели роста эффективности.</w:t>
      </w: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Предстоящий проект предусматривает сокращенный объем закупок лекарств, медицинского оборудования и расходных материалов, которые будут осуществляться только в пенитенциарном секторе и только в течение первых двух лет реализации. ПРООН больше не будет использоваться в качестве канала для закупок (данная программа используется для закупки всех товаров для лабораторий в рамках текущего гранта). ОР будет закупать препараты </w:t>
      </w:r>
      <w:r w:rsidR="00AA0737">
        <w:rPr>
          <w:rFonts w:ascii="Arial" w:hAnsi="Arial"/>
        </w:rPr>
        <w:t>второго ряда</w:t>
      </w:r>
      <w:r>
        <w:rPr>
          <w:rFonts w:ascii="Arial" w:hAnsi="Arial"/>
        </w:rPr>
        <w:t xml:space="preserve">, инструменты и картриджи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, а также </w:t>
      </w:r>
      <w:r w:rsidR="00E27355">
        <w:rPr>
          <w:rFonts w:ascii="Arial" w:hAnsi="Arial"/>
        </w:rPr>
        <w:t xml:space="preserve">реагентов для метода </w:t>
      </w:r>
      <w:r w:rsidR="00E27355">
        <w:rPr>
          <w:rFonts w:ascii="Arial" w:hAnsi="Arial"/>
          <w:lang w:val="en-US"/>
        </w:rPr>
        <w:t>HAIN</w:t>
      </w:r>
      <w:r w:rsidR="00E27355" w:rsidRPr="00E273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 использованием международного механизма льготных цен через Глобальный механизм по обеспечению лекарственными средствами Партнерства «Стоп ТБ». Для закупки лабораторных </w:t>
      </w:r>
      <w:r w:rsidR="00EE2BBB">
        <w:rPr>
          <w:rFonts w:ascii="Arial" w:hAnsi="Arial"/>
        </w:rPr>
        <w:t xml:space="preserve">реагентов для автоматизированной системы </w:t>
      </w:r>
      <w:r w:rsidR="00EE2BBB" w:rsidRPr="00EE2BBB">
        <w:rPr>
          <w:rFonts w:ascii="Arial" w:hAnsi="Arial"/>
        </w:rPr>
        <w:t>Bactec-960</w:t>
      </w:r>
      <w:r w:rsidR="00EE2BBB">
        <w:rPr>
          <w:rFonts w:ascii="Arial" w:hAnsi="Arial"/>
        </w:rPr>
        <w:t>,</w:t>
      </w:r>
      <w:r>
        <w:rPr>
          <w:rFonts w:ascii="Arial" w:hAnsi="Arial"/>
        </w:rPr>
        <w:t xml:space="preserve"> ОР продолжит применение текущей процедуры проведения тендеров на местном уровне.  </w:t>
      </w:r>
    </w:p>
    <w:p w:rsidR="003F2160" w:rsidRPr="00C53B9C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Участие ключевых групп населения и людей, страдающих заболеваниями, в реализации данной заявки на финансирование будет обеспечиваться посредством: членства соответствующих организаций в СКК и их участия в технических рабочих группах и других процессах принятия решений СКК; Национальной платформы Партнерства «Стоп ТБ» (НПСТБ) для привлечения и координации партнеров, принимающих активное участие в борьбе с ТБ, включая НПО и других соответствующих негосударственных субъектов; реализации проектов НПО и других мероприятий по привлечению общественности в рамках </w:t>
      </w:r>
      <w:r w:rsidR="00EE2BBB">
        <w:rPr>
          <w:rFonts w:ascii="Arial" w:hAnsi="Arial"/>
        </w:rPr>
        <w:t>Интервенции</w:t>
      </w:r>
      <w:r>
        <w:rPr>
          <w:rFonts w:ascii="Arial" w:hAnsi="Arial"/>
        </w:rPr>
        <w:t xml:space="preserve"> 2.3 (см. Раздел 2.1 выше).</w:t>
      </w:r>
    </w:p>
    <w:p w:rsidR="003F2160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Секретариат СКК и ОР будут информировать Глобальный фонд о ходе реализации гранта. Отчеты о ходе работ и запросы на выплату средств будут направляться в ГФ ежегодно или по согласованию с </w:t>
      </w:r>
      <w:r w:rsidR="00EE2BBB">
        <w:rPr>
          <w:rFonts w:ascii="Arial" w:hAnsi="Arial"/>
        </w:rPr>
        <w:t>Фонд Портфолио менеджером</w:t>
      </w:r>
      <w:r>
        <w:rPr>
          <w:rFonts w:ascii="Arial" w:hAnsi="Arial"/>
        </w:rPr>
        <w:t xml:space="preserve">. Местный агент Фонда (в настоящее время - </w:t>
      </w:r>
      <w:proofErr w:type="spellStart"/>
      <w:r>
        <w:rPr>
          <w:rFonts w:ascii="Arial" w:hAnsi="Arial"/>
        </w:rPr>
        <w:t>Price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Waterhouse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Coopers</w:t>
      </w:r>
      <w:proofErr w:type="spellEnd"/>
      <w:r>
        <w:rPr>
          <w:rFonts w:ascii="Arial" w:hAnsi="Arial"/>
        </w:rPr>
        <w:t>, PWC) будет действовать в соответствии с Техническим заданием, согласованным с Глобальным фондом, включая проверки на местах. Ежегодные внешние аудиторские проверки являются неотъемлемой частью предлагаемых механизмов управления. Обновленная Карта механизмов реализации будет разработана на этапе предоставления гранта.</w:t>
      </w:r>
    </w:p>
    <w:p w:rsidR="003F2160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926"/>
      </w:tblGrid>
      <w:tr w:rsidR="003F2160" w:rsidRPr="00B87D4D" w:rsidTr="00DC3DD1">
        <w:trPr>
          <w:trHeight w:val="395"/>
        </w:trPr>
        <w:tc>
          <w:tcPr>
            <w:tcW w:w="8926" w:type="dxa"/>
            <w:shd w:val="clear" w:color="auto" w:fill="C6D9F1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bCs/>
                <w:sz w:val="20"/>
                <w:szCs w:val="20"/>
              </w:rPr>
              <w:t>3.2 Основные риски реализации</w:t>
            </w:r>
          </w:p>
        </w:tc>
      </w:tr>
      <w:tr w:rsidR="003F2160" w:rsidRPr="00C53B9C" w:rsidTr="00DC3DD1">
        <w:trPr>
          <w:trHeight w:val="1794"/>
        </w:trPr>
        <w:tc>
          <w:tcPr>
            <w:tcW w:w="8926" w:type="dxa"/>
            <w:shd w:val="clear" w:color="auto" w:fill="F2F2F2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приведенной ниже таблице опишите основные прогнозируемые риски, включая риски, указанные в таблице «</w:t>
            </w:r>
            <w:r>
              <w:rPr>
                <w:rFonts w:ascii="Arial" w:hAnsi="Arial"/>
                <w:i/>
                <w:sz w:val="20"/>
                <w:szCs w:val="20"/>
              </w:rPr>
              <w:t>Основные программные риски</w:t>
            </w:r>
            <w:r>
              <w:rPr>
                <w:rFonts w:ascii="Arial" w:hAnsi="Arial"/>
                <w:sz w:val="20"/>
                <w:szCs w:val="20"/>
              </w:rPr>
              <w:t xml:space="preserve">», используемой Глобальным фондом в процессе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странового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диалога. Вы также можете указать основные операционные и реализационные риски, которые вы определили в качестве не устраненных после предыдущего периода реализации, а также конкретные меры по смягчению рисков, запланированные в целях устранения всех этих проблем/ рисков для обеспечения эффективного функционирования программы в данном контексте. </w:t>
            </w:r>
          </w:p>
          <w:p w:rsidR="003F2160" w:rsidRPr="00C53B9C" w:rsidRDefault="003F2160" w:rsidP="00DC3DD1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F2160" w:rsidRPr="00C53B9C" w:rsidRDefault="003F2160" w:rsidP="00DC3DD1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Ответ кандидата в нижеследующей таблице</w:t>
            </w:r>
          </w:p>
        </w:tc>
      </w:tr>
    </w:tbl>
    <w:p w:rsidR="00B87D4D" w:rsidRDefault="00B87D4D" w:rsidP="003F2160">
      <w:pPr>
        <w:spacing w:after="120" w:line="240" w:lineRule="auto"/>
        <w:jc w:val="both"/>
        <w:rPr>
          <w:rFonts w:ascii="Arial" w:hAnsi="Arial"/>
          <w:b/>
        </w:rPr>
      </w:pPr>
    </w:p>
    <w:p w:rsidR="00B87D4D" w:rsidRDefault="00B87D4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F2160" w:rsidRDefault="003F2160" w:rsidP="003F2160">
      <w:pPr>
        <w:spacing w:after="120" w:line="240" w:lineRule="auto"/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3685"/>
        <w:gridCol w:w="1400"/>
      </w:tblGrid>
      <w:tr w:rsidR="003F2160" w:rsidRPr="00B87D4D" w:rsidTr="00DC3DD1">
        <w:trPr>
          <w:trHeight w:val="470"/>
          <w:jc w:val="center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iCs/>
                <w:sz w:val="20"/>
                <w:szCs w:val="20"/>
              </w:rPr>
              <w:t>Категория риска</w:t>
            </w:r>
          </w:p>
          <w:p w:rsidR="003F2160" w:rsidRPr="00B87D4D" w:rsidRDefault="003F2160" w:rsidP="00DC3DD1">
            <w:pPr>
              <w:spacing w:before="120" w:after="120" w:line="240" w:lineRule="auto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iCs/>
                <w:sz w:val="20"/>
                <w:szCs w:val="20"/>
              </w:rPr>
              <w:t>(функциональная область)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sz w:val="20"/>
                <w:szCs w:val="20"/>
              </w:rPr>
              <w:t>Основной риск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sz w:val="20"/>
                <w:szCs w:val="20"/>
              </w:rPr>
              <w:t>Меры по смягчению рисков</w:t>
            </w:r>
          </w:p>
        </w:tc>
        <w:tc>
          <w:tcPr>
            <w:tcW w:w="1400" w:type="dxa"/>
            <w:shd w:val="clear" w:color="auto" w:fill="C6D9F1" w:themeFill="text2" w:themeFillTint="33"/>
            <w:vAlign w:val="center"/>
          </w:tcPr>
          <w:p w:rsidR="003F2160" w:rsidRPr="00B87D4D" w:rsidRDefault="003F2160" w:rsidP="00DC3DD1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7D4D">
              <w:rPr>
                <w:rFonts w:ascii="Arial" w:hAnsi="Arial"/>
                <w:b/>
                <w:sz w:val="20"/>
                <w:szCs w:val="20"/>
              </w:rPr>
              <w:t>Сроки</w:t>
            </w:r>
          </w:p>
        </w:tc>
      </w:tr>
      <w:tr w:rsidR="003F2160" w:rsidRPr="00C53B9C" w:rsidTr="00DC3DD1">
        <w:trPr>
          <w:trHeight w:val="49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Внешние риски (макроэкономические факторы)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Колебания курса валют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Корректировка рабочего плана и бюджета; одобрение СКК; переговоры касательно изменения программы деятельности со Страновой командой ГФ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Периодически, по мере необходимости</w:t>
            </w:r>
          </w:p>
        </w:tc>
      </w:tr>
      <w:tr w:rsidR="003F2160" w:rsidRPr="00C53B9C" w:rsidTr="00DC3DD1">
        <w:trPr>
          <w:trHeight w:val="49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Риски программы/мониторинга и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Существенные изменения в международной политике/руководствах по ТБ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Консультации с ВОЗ и другими международными партнерами; информационно-просветительская деятельность совместно с МЗ и НПТ; переговоры со Страновой командой ГФ и внесение изменений в программу закупок и других видов деятельности по мере необходимости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Периодически, по мере необходимости</w:t>
            </w:r>
          </w:p>
        </w:tc>
      </w:tr>
      <w:tr w:rsidR="003F2160" w:rsidRPr="00C53B9C" w:rsidTr="00DC3DD1">
        <w:trPr>
          <w:trHeight w:val="56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Риски программы/мониторинга и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Качество данных (НПО, пенитенциарная система)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2160" w:rsidRPr="00C53B9C" w:rsidRDefault="003F2160" w:rsidP="003F2160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/>
              <w:jc w:val="both"/>
              <w:rPr>
                <w:rFonts w:ascii="Arial" w:hAnsi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/>
                <w:b w:val="0"/>
                <w:iCs/>
                <w:sz w:val="20"/>
                <w:szCs w:val="20"/>
              </w:rPr>
              <w:t>Техническая помощь, поддержка ИТ, развитие и укрепление потенциала при обновлении информационной системы (Национальный реестр ТБ); визиты в тюрьмы и на участки реализации проектов НПО в целях проведения контроля и мониторинга; проверка данных на местах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Постоянно, в соответствии с рабочим планом проекта</w:t>
            </w:r>
          </w:p>
        </w:tc>
      </w:tr>
      <w:tr w:rsidR="003F2160" w:rsidRPr="00C53B9C" w:rsidTr="00DC3DD1">
        <w:trPr>
          <w:trHeight w:val="56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Риски программы/мониторинга и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Устойчивость (например, заключение социальных контрактов)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Информационно-просветительская деятельность совместно с Правительством на центральном и региональном уровнях через Национальное партнерство «СТОП ТБ» и другие платформы; техническая поддержка при оценке затрат на оказание услуг НПО и бюджетном планировании; развитие потенциала НПО; мероприятия по обмену опытом и распространению передового опыта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Постоянно, в соответствии с рабочим планом проекта</w:t>
            </w:r>
          </w:p>
        </w:tc>
      </w:tr>
      <w:tr w:rsidR="003F2160" w:rsidRPr="00C53B9C" w:rsidTr="00DC3DD1">
        <w:trPr>
          <w:trHeight w:val="55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Финансовые риски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Низкий уровень освоения средств гранта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Строгое соблюдение руководства ГФ по проведению закупок и финансирования для ОР; регулярная систематическая оценка расходования средств гранта Основным реципиентом; оценка экономии и неиспользования, а также определение возможных вариантов перераспределения; переговоры касательно изменения программы деятельности со Страновой командой ГФ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2160" w:rsidRPr="00C53B9C" w:rsidRDefault="00EE2BBB" w:rsidP="00EE2BBB">
            <w:pPr>
              <w:spacing w:before="120" w:after="12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П</w:t>
            </w:r>
            <w:r w:rsidR="003F2160">
              <w:rPr>
                <w:rFonts w:ascii="Arial" w:hAnsi="Arial"/>
                <w:iCs/>
                <w:sz w:val="20"/>
                <w:szCs w:val="20"/>
              </w:rPr>
              <w:t>остоянн</w:t>
            </w:r>
            <w:r>
              <w:rPr>
                <w:rFonts w:ascii="Arial" w:hAnsi="Arial"/>
                <w:iCs/>
                <w:sz w:val="20"/>
                <w:szCs w:val="20"/>
              </w:rPr>
              <w:t>о</w:t>
            </w:r>
          </w:p>
        </w:tc>
      </w:tr>
    </w:tbl>
    <w:p w:rsidR="003F2160" w:rsidRPr="00C53B9C" w:rsidRDefault="003F2160" w:rsidP="003F2160">
      <w:pPr>
        <w:spacing w:after="0" w:line="240" w:lineRule="auto"/>
        <w:rPr>
          <w:rFonts w:ascii="Arial" w:hAnsi="Arial"/>
          <w:sz w:val="20"/>
          <w:szCs w:val="20"/>
        </w:rPr>
      </w:pPr>
    </w:p>
    <w:p w:rsidR="003F2160" w:rsidRDefault="003F2160" w:rsidP="003F2160"/>
    <w:p w:rsidR="003F2160" w:rsidRPr="00C53B9C" w:rsidRDefault="003F2160" w:rsidP="003F2160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926"/>
      </w:tblGrid>
      <w:tr w:rsidR="003F2160" w:rsidRPr="00BC4F4B" w:rsidTr="00DC3DD1">
        <w:trPr>
          <w:trHeight w:val="409"/>
          <w:jc w:val="center"/>
        </w:trPr>
        <w:tc>
          <w:tcPr>
            <w:tcW w:w="8926" w:type="dxa"/>
            <w:shd w:val="clear" w:color="auto" w:fill="1F497D"/>
            <w:vAlign w:val="center"/>
          </w:tcPr>
          <w:p w:rsidR="003F2160" w:rsidRPr="00BC4F4B" w:rsidRDefault="003F2160" w:rsidP="00DC3DD1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C4F4B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РАЗДЕЛ 4. ИСТОЧНИКИ ФИНАНСИРОВАНИЯ, СОВМЕСТНОЕ ФИНАНСИРОВАНИЕ И УСТОЙЧИВОСТЬ</w:t>
            </w:r>
          </w:p>
        </w:tc>
      </w:tr>
      <w:tr w:rsidR="003F2160" w:rsidRPr="00CF2632" w:rsidTr="00DC3DD1">
        <w:trPr>
          <w:trHeight w:val="1071"/>
          <w:jc w:val="center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:rsidR="003F2160" w:rsidRPr="002B3F43" w:rsidRDefault="003F216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3F43">
              <w:rPr>
                <w:rFonts w:ascii="Arial" w:hAnsi="Arial"/>
                <w:bCs/>
                <w:iCs/>
                <w:sz w:val="20"/>
                <w:szCs w:val="20"/>
              </w:rPr>
              <w:t xml:space="preserve">В этом разделе следует подробно описать тенденции в области финансирования здравоохранения в целом, обязательства правительства в отношении совместного финансирования и основные планы по обеспечению устойчивости. </w:t>
            </w:r>
          </w:p>
          <w:p w:rsidR="003F2160" w:rsidRPr="002B3F43" w:rsidRDefault="003F2160" w:rsidP="00DC3DD1">
            <w:pPr>
              <w:spacing w:before="120" w:after="120" w:line="240" w:lineRule="auto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Приведите ссылки на Таблицу (таблицы)</w:t>
            </w:r>
            <w:r w:rsidRPr="002B3F43">
              <w:rPr>
                <w:rFonts w:ascii="Arial" w:hAnsi="Arial"/>
                <w:bCs/>
                <w:iCs/>
                <w:sz w:val="20"/>
                <w:szCs w:val="20"/>
              </w:rPr>
              <w:t xml:space="preserve"> источников финансирования и дополнительные документы, при необходимости. </w:t>
            </w:r>
          </w:p>
          <w:p w:rsidR="003F2160" w:rsidRPr="00CF2632" w:rsidRDefault="003F2160" w:rsidP="00DC3DD1">
            <w:pPr>
              <w:spacing w:before="120" w:after="120" w:line="240" w:lineRule="auto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B3F43">
              <w:rPr>
                <w:rFonts w:ascii="Arial" w:hAnsi="Arial"/>
                <w:bCs/>
                <w:iCs/>
                <w:sz w:val="20"/>
                <w:szCs w:val="20"/>
              </w:rPr>
              <w:t xml:space="preserve">При составлении ответа используйте руководящие указания, приведенные в </w:t>
            </w:r>
            <w:r w:rsidRPr="002B3F43">
              <w:rPr>
                <w:rFonts w:ascii="Arial" w:hAnsi="Arial"/>
                <w:bCs/>
                <w:i/>
                <w:iCs/>
                <w:sz w:val="20"/>
                <w:szCs w:val="20"/>
              </w:rPr>
              <w:t>Инструкциях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3F2160" w:rsidRPr="00CF2632" w:rsidRDefault="003F2160" w:rsidP="003F2160">
      <w:pPr>
        <w:spacing w:after="160" w:line="259" w:lineRule="auto"/>
        <w:rPr>
          <w:rFonts w:ascii="Arial" w:hAnsi="Arial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6796"/>
        <w:gridCol w:w="2096"/>
      </w:tblGrid>
      <w:tr w:rsidR="003F2160" w:rsidRPr="00BC4F4B" w:rsidTr="00DC3DD1">
        <w:trPr>
          <w:trHeight w:val="256"/>
          <w:jc w:val="center"/>
        </w:trPr>
        <w:tc>
          <w:tcPr>
            <w:tcW w:w="8892" w:type="dxa"/>
            <w:gridSpan w:val="2"/>
            <w:shd w:val="clear" w:color="auto" w:fill="C6D9F1" w:themeFill="text2" w:themeFillTint="33"/>
            <w:vAlign w:val="center"/>
          </w:tcPr>
          <w:p w:rsidR="003F2160" w:rsidRPr="00BC4F4B" w:rsidRDefault="003F2160" w:rsidP="00DC3DD1">
            <w:pPr>
              <w:spacing w:before="120" w:after="120" w:line="240" w:lineRule="auto"/>
              <w:jc w:val="both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BC4F4B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4.1 Условия финансирования и совместное финансирование </w:t>
            </w:r>
          </w:p>
        </w:tc>
      </w:tr>
      <w:tr w:rsidR="003F2160" w:rsidRPr="00C53B9C" w:rsidTr="00DC3DD1">
        <w:trPr>
          <w:trHeight w:val="874"/>
          <w:jc w:val="center"/>
        </w:trPr>
        <w:tc>
          <w:tcPr>
            <w:tcW w:w="6796" w:type="dxa"/>
            <w:shd w:val="clear" w:color="auto" w:fill="F2F2F2"/>
            <w:vAlign w:val="center"/>
          </w:tcPr>
          <w:p w:rsidR="003F2160" w:rsidRPr="00D95E33" w:rsidRDefault="003F2160" w:rsidP="003F2160">
            <w:pPr>
              <w:numPr>
                <w:ilvl w:val="0"/>
                <w:numId w:val="13"/>
              </w:numPr>
              <w:spacing w:before="120" w:after="120" w:line="240" w:lineRule="auto"/>
              <w:ind w:left="276" w:hanging="284"/>
              <w:contextualSpacing/>
              <w:jc w:val="both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D95E3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Имеются ли какие-либо осуществляемые и/или запланированные меры или реформы, направленные на увеличение финансирования в области здравоохранения и на повышение эффективности и результативности затрат на здравоохранение? </w:t>
            </w:r>
            <w:r w:rsidRPr="00BC4F4B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Если да</w:t>
            </w:r>
            <w:r w:rsidRPr="00D95E33">
              <w:rPr>
                <w:rFonts w:ascii="Arial" w:eastAsia="SimSun" w:hAnsi="Arial"/>
                <w:sz w:val="20"/>
                <w:szCs w:val="20"/>
                <w:lang w:eastAsia="zh-CN"/>
              </w:rPr>
              <w:t>, приведите подробные данные ниже</w:t>
            </w:r>
            <w:r w:rsidRPr="00D95E33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F2160" w:rsidRPr="00C53B9C" w:rsidRDefault="00EB30C0" w:rsidP="00DC3DD1">
            <w:pPr>
              <w:spacing w:before="120" w:after="12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-824042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  <w:r w:rsidR="003F2160" w:rsidRPr="00C53B9C"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-20374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3F2160" w:rsidRPr="00C53B9C" w:rsidTr="00DC3DD1">
        <w:trPr>
          <w:trHeight w:val="844"/>
          <w:jc w:val="center"/>
        </w:trPr>
        <w:tc>
          <w:tcPr>
            <w:tcW w:w="6796" w:type="dxa"/>
            <w:shd w:val="clear" w:color="auto" w:fill="F2F2F2"/>
            <w:vAlign w:val="center"/>
          </w:tcPr>
          <w:p w:rsidR="003F2160" w:rsidRPr="000F66A0" w:rsidRDefault="003F2160" w:rsidP="003F2160">
            <w:pPr>
              <w:numPr>
                <w:ilvl w:val="0"/>
                <w:numId w:val="13"/>
              </w:numPr>
              <w:spacing w:before="120" w:after="120" w:line="240" w:lineRule="auto"/>
              <w:ind w:left="276" w:hanging="284"/>
              <w:contextualSpacing/>
              <w:jc w:val="both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0F66A0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Запрашивается ли в запросе поддержка со стороны </w:t>
            </w:r>
            <w:r w:rsidRPr="000F66A0">
              <w:rPr>
                <w:rFonts w:ascii="Arial" w:eastAsia="SimSun" w:hAnsi="Arial"/>
                <w:bCs/>
                <w:sz w:val="20"/>
                <w:szCs w:val="20"/>
                <w:lang w:eastAsia="zh-CN"/>
              </w:rPr>
              <w:t xml:space="preserve">Глобального фонда для разработки стратегии финансирования здравоохранения и/или для реформирования системы финансирования здравоохранения? </w:t>
            </w:r>
            <w:r w:rsidRPr="00BC4F4B">
              <w:rPr>
                <w:rFonts w:ascii="Arial" w:eastAsia="SimSun" w:hAnsi="Arial"/>
                <w:b/>
                <w:bCs/>
                <w:sz w:val="20"/>
                <w:szCs w:val="20"/>
                <w:lang w:eastAsia="zh-CN"/>
              </w:rPr>
              <w:t>Если да</w:t>
            </w:r>
            <w:r w:rsidRPr="000F66A0">
              <w:rPr>
                <w:rFonts w:ascii="Arial" w:eastAsia="SimSun" w:hAnsi="Arial"/>
                <w:bCs/>
                <w:sz w:val="20"/>
                <w:szCs w:val="20"/>
                <w:lang w:eastAsia="zh-CN"/>
              </w:rPr>
              <w:t>, приведите краткое описание контекста ниже</w:t>
            </w:r>
            <w:r w:rsidRPr="000F66A0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F2160" w:rsidRPr="00C53B9C" w:rsidRDefault="00EB30C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7918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Да</w:t>
            </w:r>
            <w:r w:rsidR="003F2160" w:rsidRPr="00C53B9C"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50996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Нет</w:t>
            </w:r>
          </w:p>
        </w:tc>
      </w:tr>
      <w:tr w:rsidR="003F2160" w:rsidRPr="00C53B9C" w:rsidTr="00DC3DD1">
        <w:trPr>
          <w:trHeight w:val="559"/>
          <w:jc w:val="center"/>
        </w:trPr>
        <w:tc>
          <w:tcPr>
            <w:tcW w:w="6796" w:type="dxa"/>
            <w:shd w:val="clear" w:color="auto" w:fill="F2F2F2"/>
            <w:vAlign w:val="center"/>
          </w:tcPr>
          <w:p w:rsidR="003F2160" w:rsidRPr="000F66A0" w:rsidRDefault="003F2160" w:rsidP="003F2160">
            <w:pPr>
              <w:numPr>
                <w:ilvl w:val="0"/>
                <w:numId w:val="13"/>
              </w:numPr>
              <w:spacing w:before="120" w:after="120" w:line="240" w:lineRule="auto"/>
              <w:ind w:left="276" w:hanging="284"/>
              <w:contextualSpacing/>
              <w:jc w:val="both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0F66A0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Были ли выполнены предыдущие обязательства правительства в отношении выделения ресурсов на период с 2014 по 2016 годы? </w:t>
            </w:r>
            <w:r w:rsidRPr="00BC4F4B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Если нет</w:t>
            </w:r>
            <w:r w:rsidRPr="000F66A0">
              <w:rPr>
                <w:rFonts w:ascii="Arial" w:eastAsia="SimSun" w:hAnsi="Arial"/>
                <w:sz w:val="20"/>
                <w:szCs w:val="20"/>
                <w:lang w:eastAsia="zh-CN"/>
              </w:rPr>
              <w:t>, укажите причины ниже.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F2160" w:rsidRPr="00C53B9C" w:rsidRDefault="00EB30C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-888803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  <w:r w:rsidR="003F2160" w:rsidRPr="00C53B9C"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-15802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3F2160" w:rsidRPr="00C53B9C" w:rsidTr="00DC3DD1">
        <w:trPr>
          <w:trHeight w:val="978"/>
          <w:jc w:val="center"/>
        </w:trPr>
        <w:tc>
          <w:tcPr>
            <w:tcW w:w="6796" w:type="dxa"/>
            <w:shd w:val="clear" w:color="auto" w:fill="F2F2F2"/>
            <w:vAlign w:val="center"/>
          </w:tcPr>
          <w:p w:rsidR="003F2160" w:rsidRPr="00492535" w:rsidRDefault="003F2160" w:rsidP="003F2160">
            <w:pPr>
              <w:numPr>
                <w:ilvl w:val="0"/>
                <w:numId w:val="13"/>
              </w:numPr>
              <w:spacing w:before="120" w:after="120" w:line="240" w:lineRule="auto"/>
              <w:ind w:left="276" w:hanging="284"/>
              <w:contextualSpacing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Удовлетворяют ли минимальным требованиям нынешние обязательства в </w:t>
            </w:r>
            <w:r w:rsidRPr="00492535">
              <w:rPr>
                <w:rFonts w:ascii="Arial" w:eastAsia="SimSun" w:hAnsi="Arial"/>
                <w:bCs/>
                <w:sz w:val="20"/>
                <w:szCs w:val="20"/>
                <w:lang w:eastAsia="zh-CN"/>
              </w:rPr>
              <w:t>отношении</w:t>
            </w: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совместного финансирования с учетом ресурсов, выделенных на период с 2017 по 2019 годы, для обеспечения полного доступа к льготному совместному финансированию, как это указано в Политике в отношении устойчивости, перехода и совместного финансирования</w:t>
            </w:r>
            <w:r w:rsidRPr="00492535">
              <w:rPr>
                <w:rFonts w:ascii="Arial" w:hAnsi="Arial"/>
                <w:sz w:val="20"/>
                <w:szCs w:val="20"/>
              </w:rPr>
              <w:t>?</w:t>
            </w:r>
            <w:r w:rsidRPr="00492535">
              <w:rPr>
                <w:rFonts w:ascii="Arial" w:hAnsi="Arial"/>
                <w:sz w:val="20"/>
                <w:szCs w:val="20"/>
                <w:vertAlign w:val="superscript"/>
              </w:rPr>
              <w:footnoteReference w:id="10"/>
            </w:r>
            <w:r w:rsidRPr="00492535">
              <w:rPr>
                <w:rFonts w:ascii="Arial" w:hAnsi="Arial"/>
                <w:sz w:val="20"/>
                <w:szCs w:val="20"/>
              </w:rPr>
              <w:t xml:space="preserve"> </w:t>
            </w:r>
            <w:r w:rsidRPr="00BC4F4B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Если нет</w:t>
            </w: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>, укажите причины ниже</w:t>
            </w:r>
            <w:r w:rsidRPr="0049253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F2160" w:rsidRPr="00C53B9C" w:rsidRDefault="00EB30C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-471215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Да</w:t>
            </w:r>
            <w:r w:rsidR="003F2160" w:rsidRPr="00C53B9C"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20631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Нет</w:t>
            </w:r>
          </w:p>
        </w:tc>
      </w:tr>
      <w:tr w:rsidR="003F2160" w:rsidRPr="00C53B9C" w:rsidTr="00DC3DD1">
        <w:trPr>
          <w:trHeight w:val="978"/>
          <w:jc w:val="center"/>
        </w:trPr>
        <w:tc>
          <w:tcPr>
            <w:tcW w:w="6796" w:type="dxa"/>
            <w:shd w:val="clear" w:color="auto" w:fill="F2F2F2"/>
            <w:vAlign w:val="center"/>
          </w:tcPr>
          <w:p w:rsidR="003F2160" w:rsidRPr="00492535" w:rsidRDefault="003F2160" w:rsidP="003F2160">
            <w:pPr>
              <w:numPr>
                <w:ilvl w:val="0"/>
                <w:numId w:val="13"/>
              </w:numPr>
              <w:spacing w:before="120" w:after="120" w:line="240" w:lineRule="auto"/>
              <w:ind w:left="276" w:hanging="284"/>
              <w:contextualSpacing/>
              <w:jc w:val="both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Запрашивается ли в настоящем запросе поддержка со стороны </w:t>
            </w:r>
            <w:r w:rsidRPr="00492535">
              <w:rPr>
                <w:rFonts w:ascii="Arial" w:eastAsia="SimSun" w:hAnsi="Arial"/>
                <w:bCs/>
                <w:sz w:val="20"/>
                <w:szCs w:val="20"/>
                <w:lang w:eastAsia="zh-CN"/>
              </w:rPr>
              <w:t>Глобального фонда для институционализации механизмов мониторинга расходования средств, таких как национальные счета здравоохранения</w:t>
            </w: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? </w:t>
            </w:r>
            <w:r w:rsidRPr="00BC4F4B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Укажите</w:t>
            </w:r>
            <w:r w:rsidRPr="00492535">
              <w:rPr>
                <w:rFonts w:ascii="Arial" w:eastAsia="SimSun" w:hAnsi="Arial"/>
                <w:sz w:val="20"/>
                <w:szCs w:val="20"/>
                <w:lang w:eastAsia="zh-CN"/>
              </w:rPr>
              <w:t>, как будет отслеживаться и передаваться информация о выполнении обязательств в отношении совместного финансирования</w:t>
            </w:r>
            <w:r w:rsidRPr="0049253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F2160" w:rsidRPr="00C53B9C" w:rsidRDefault="00EB30C0" w:rsidP="00DC3DD1">
            <w:pPr>
              <w:spacing w:before="120" w:after="120" w:line="240" w:lineRule="auto"/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bCs/>
                  <w:iCs/>
                  <w:sz w:val="20"/>
                  <w:szCs w:val="20"/>
                </w:rPr>
                <w:id w:val="1547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Да</w:t>
            </w:r>
            <w:r w:rsidR="003F2160" w:rsidRPr="00C53B9C"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/>
                  <w:bCs/>
                  <w:iCs/>
                  <w:sz w:val="20"/>
                  <w:szCs w:val="20"/>
                </w:rPr>
                <w:id w:val="1301727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160" w:rsidRPr="00C53B9C">
                  <w:rPr>
                    <w:rFonts w:ascii="MS Gothic" w:eastAsia="MS Gothic" w:hAnsi="MS Gothic"/>
                    <w:bCs/>
                    <w:iCs/>
                    <w:sz w:val="20"/>
                    <w:szCs w:val="20"/>
                  </w:rPr>
                  <w:t>☒</w:t>
                </w:r>
              </w:sdtContent>
            </w:sdt>
            <w:r w:rsidR="003F2160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="003F2160" w:rsidRPr="00BC4F4B">
              <w:rPr>
                <w:rFonts w:ascii="Arial" w:hAnsi="Arial"/>
                <w:b/>
                <w:bCs/>
                <w:iCs/>
                <w:sz w:val="20"/>
                <w:szCs w:val="20"/>
              </w:rPr>
              <w:t>Нет</w:t>
            </w:r>
          </w:p>
        </w:tc>
      </w:tr>
    </w:tbl>
    <w:p w:rsidR="003F2160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</w:p>
    <w:p w:rsidR="003F2160" w:rsidRPr="0019276E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 w:rsidRPr="0019276E">
        <w:rPr>
          <w:rFonts w:ascii="Arial" w:hAnsi="Arial"/>
        </w:rPr>
        <w:t>Государственные расходы на здравоохранение были стабильными и составляли 2,2% от ВВП при значительном уровне расходов частного сектора, который составлял до 46,7% от общих расходов на здравоохранение в 2014 году</w:t>
      </w:r>
      <w:r w:rsidR="002312E3">
        <w:rPr>
          <w:rStyle w:val="FootnoteReference"/>
          <w:rFonts w:ascii="Arial" w:hAnsi="Arial"/>
        </w:rPr>
        <w:footnoteReference w:id="11"/>
      </w:r>
      <w:r w:rsidRPr="0019276E">
        <w:rPr>
          <w:rFonts w:ascii="Arial" w:hAnsi="Arial"/>
        </w:rPr>
        <w:t>. В 2014 году расходы на здравоохранение, предусмотренные в государственном бюджете, составили 10,9%</w:t>
      </w:r>
      <w:r w:rsidRPr="005A6472">
        <w:rPr>
          <w:vertAlign w:val="superscript"/>
        </w:rPr>
        <w:footnoteReference w:id="12"/>
      </w:r>
      <w:r w:rsidRPr="0019276E">
        <w:rPr>
          <w:rFonts w:ascii="Arial" w:hAnsi="Arial"/>
        </w:rPr>
        <w:t xml:space="preserve"> и оставались без изменений в 2015-2016 годах (источник: Министерство финансов). Эти показатели говорят о том, что по сравнению с другими странами Восточной Европы и Центральной Азии правительство на должном уровне выполняет обязательство по выделению достаточной доли государственного бюджета для системы здравоохранения.</w:t>
      </w:r>
    </w:p>
    <w:p w:rsidR="003F2160" w:rsidRPr="0019276E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 w:rsidRPr="0019276E">
        <w:rPr>
          <w:rFonts w:ascii="Arial" w:hAnsi="Arial"/>
        </w:rPr>
        <w:t xml:space="preserve">Принимая во внимание текущий уровень расходов и с учетом необходимости в расширении основных услуг </w:t>
      </w:r>
      <w:r w:rsidR="002312E3">
        <w:rPr>
          <w:rFonts w:ascii="Arial" w:hAnsi="Arial"/>
        </w:rPr>
        <w:t>для основных затронутых групп</w:t>
      </w:r>
      <w:r w:rsidRPr="0019276E">
        <w:rPr>
          <w:rFonts w:ascii="Arial" w:hAnsi="Arial"/>
        </w:rPr>
        <w:t>, поставки новых и перепрофилированных препаратов для лечения МЛУ-ТБ, Ф</w:t>
      </w:r>
      <w:r w:rsidR="002312E3">
        <w:rPr>
          <w:rFonts w:ascii="Arial" w:hAnsi="Arial"/>
        </w:rPr>
        <w:t>К</w:t>
      </w:r>
      <w:r w:rsidRPr="0019276E">
        <w:rPr>
          <w:rFonts w:ascii="Arial" w:hAnsi="Arial"/>
        </w:rPr>
        <w:t xml:space="preserve">-устойчивого ТБ и ШЛУ-ТБ, внедрения новых диагностических технологий и модели оказания медицинской помощи, ориентированной на людей, общие сметные расходы на реализацию Национальной программы борьбы с ТБ </w:t>
      </w:r>
      <w:r w:rsidRPr="0019276E">
        <w:rPr>
          <w:rFonts w:ascii="Arial" w:hAnsi="Arial"/>
        </w:rPr>
        <w:lastRenderedPageBreak/>
        <w:t>оцениваются в 151,6 млрд. тенге на период с 2020 по 2022 годы по сравнению с 149,2 млрд. тенге на период с 2017 по 2019 годы</w:t>
      </w:r>
      <w:r w:rsidR="00BA375E" w:rsidRPr="00DD7C44">
        <w:rPr>
          <w:rFonts w:ascii="Arial" w:hAnsi="Arial"/>
        </w:rPr>
        <w:t xml:space="preserve"> (</w:t>
      </w:r>
      <w:r w:rsidR="00BA375E">
        <w:rPr>
          <w:rFonts w:ascii="Arial" w:hAnsi="Arial"/>
        </w:rPr>
        <w:t xml:space="preserve">Таблица </w:t>
      </w:r>
      <w:r w:rsidR="00BA375E" w:rsidRPr="00DD7C44">
        <w:rPr>
          <w:rFonts w:ascii="Arial" w:hAnsi="Arial"/>
        </w:rPr>
        <w:t>4)</w:t>
      </w:r>
      <w:r w:rsidRPr="0019276E">
        <w:rPr>
          <w:rFonts w:ascii="Arial" w:hAnsi="Arial"/>
        </w:rPr>
        <w:t xml:space="preserve">. Ожидается, что расходы по программе увеличатся на 2,4 млрд. тенге или 6,9 млн. долларов США </w:t>
      </w:r>
      <w:r w:rsidRPr="00A36DEF">
        <w:rPr>
          <w:rFonts w:ascii="Arial" w:hAnsi="Arial"/>
        </w:rPr>
        <w:t>с учетом среднего обменного курса за 2018 год в размере 342,08 тенге за 1 доллар США.</w:t>
      </w:r>
    </w:p>
    <w:p w:rsidR="006B282B" w:rsidRPr="00DD7C44" w:rsidRDefault="006B282B" w:rsidP="006B282B">
      <w:pPr>
        <w:spacing w:before="120" w:after="120" w:line="240" w:lineRule="auto"/>
        <w:jc w:val="center"/>
        <w:rPr>
          <w:rFonts w:ascii="Arial" w:eastAsia="SimSun" w:hAnsi="Arial"/>
          <w:b/>
          <w:sz w:val="20"/>
          <w:szCs w:val="20"/>
          <w:lang w:eastAsia="zh-CN"/>
        </w:rPr>
      </w:pPr>
      <w:r w:rsidRPr="00DD7C44">
        <w:rPr>
          <w:rFonts w:ascii="Arial" w:eastAsia="SimSun" w:hAnsi="Arial"/>
          <w:b/>
          <w:sz w:val="20"/>
          <w:szCs w:val="20"/>
          <w:lang w:eastAsia="zh-CN"/>
        </w:rPr>
        <w:t xml:space="preserve">Таблица 4. Ожидаемое финансирование из внутренних источников в период 2020-2022 </w:t>
      </w:r>
      <w:proofErr w:type="spellStart"/>
      <w:r w:rsidRPr="00DD7C44">
        <w:rPr>
          <w:rFonts w:ascii="Arial" w:eastAsia="SimSun" w:hAnsi="Arial"/>
          <w:b/>
          <w:sz w:val="20"/>
          <w:szCs w:val="20"/>
          <w:lang w:eastAsia="zh-CN"/>
        </w:rPr>
        <w:t>гг</w:t>
      </w:r>
      <w:proofErr w:type="spellEnd"/>
      <w:r w:rsidRPr="00DD7C44">
        <w:rPr>
          <w:rFonts w:ascii="Arial" w:eastAsia="SimSun" w:hAnsi="Arial"/>
          <w:b/>
          <w:sz w:val="20"/>
          <w:szCs w:val="20"/>
          <w:lang w:eastAsia="zh-CN"/>
        </w:rPr>
        <w:t>, тысяч тенге</w:t>
      </w:r>
    </w:p>
    <w:tbl>
      <w:tblPr>
        <w:tblW w:w="9349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1411"/>
        <w:gridCol w:w="1323"/>
        <w:gridCol w:w="1323"/>
        <w:gridCol w:w="1323"/>
        <w:gridCol w:w="1323"/>
        <w:gridCol w:w="1323"/>
        <w:gridCol w:w="1323"/>
      </w:tblGrid>
      <w:tr w:rsidR="006B282B" w:rsidRPr="00472913" w:rsidTr="00FB6C9D">
        <w:trPr>
          <w:trHeight w:val="2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D7C44">
              <w:rPr>
                <w:rFonts w:ascii="Arial" w:eastAsia="Times New Roman" w:hAnsi="Arial"/>
                <w:b/>
                <w:bCs/>
                <w:sz w:val="20"/>
                <w:szCs w:val="20"/>
              </w:rPr>
              <w:t>2022</w:t>
            </w:r>
          </w:p>
        </w:tc>
      </w:tr>
      <w:tr w:rsidR="006B282B" w:rsidRPr="00472913" w:rsidTr="00FB6C9D">
        <w:trPr>
          <w:trHeight w:val="576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rPr>
                <w:rFonts w:ascii="Arial" w:eastAsia="Times New Roman" w:hAnsi="Arial"/>
                <w:b/>
                <w:sz w:val="17"/>
                <w:szCs w:val="17"/>
                <w:highlight w:val="green"/>
                <w:lang w:val="en-US"/>
              </w:rPr>
            </w:pPr>
            <w:r w:rsidRPr="00DD7C44">
              <w:rPr>
                <w:rFonts w:ascii="Arial" w:eastAsia="Times New Roman" w:hAnsi="Arial"/>
                <w:sz w:val="17"/>
                <w:szCs w:val="17"/>
              </w:rPr>
              <w:t>Закупка противотуберкулезных препаратов</w:t>
            </w:r>
            <w:r w:rsidRPr="00DD7C44">
              <w:rPr>
                <w:rFonts w:ascii="Arial" w:eastAsia="Times New Roman" w:hAnsi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7,394,710.10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7,652,132.00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6,634,394.00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6,634,394.00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6,634,394.00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6,634,394.00</w:t>
            </w:r>
          </w:p>
        </w:tc>
      </w:tr>
      <w:tr w:rsidR="006B282B" w:rsidRPr="00472913" w:rsidTr="00FB6C9D">
        <w:trPr>
          <w:trHeight w:val="28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rPr>
                <w:rFonts w:ascii="Arial" w:eastAsia="Times New Roman" w:hAnsi="Arial"/>
                <w:b/>
                <w:sz w:val="17"/>
                <w:szCs w:val="17"/>
                <w:lang w:val="en-US"/>
              </w:rPr>
            </w:pPr>
            <w:r w:rsidRPr="00DD7C44">
              <w:rPr>
                <w:rFonts w:ascii="Arial" w:eastAsia="Times New Roman" w:hAnsi="Arial"/>
                <w:sz w:val="17"/>
                <w:szCs w:val="17"/>
              </w:rPr>
              <w:t>Предоставление услуг больным ТБ</w:t>
            </w:r>
            <w:r w:rsidRPr="00DD7C44">
              <w:rPr>
                <w:rFonts w:ascii="Arial" w:eastAsia="Times New Roman" w:hAnsi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39,963,196.70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41,308,709.00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42,322,839.00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42,368,997.00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42,368,997.00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42,368,997.00</w:t>
            </w:r>
          </w:p>
        </w:tc>
      </w:tr>
      <w:tr w:rsidR="006B282B" w:rsidRPr="00472913" w:rsidTr="00FB6C9D">
        <w:trPr>
          <w:trHeight w:val="28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DD7C44" w:rsidRDefault="006B282B">
            <w:pPr>
              <w:spacing w:after="0" w:line="240" w:lineRule="auto"/>
              <w:rPr>
                <w:rFonts w:ascii="Arial" w:eastAsia="Times New Roman" w:hAnsi="Arial"/>
                <w:b/>
                <w:sz w:val="17"/>
                <w:szCs w:val="17"/>
              </w:rPr>
            </w:pPr>
            <w:r w:rsidRPr="00DD7C44">
              <w:rPr>
                <w:rFonts w:ascii="Arial" w:eastAsia="Times New Roman" w:hAnsi="Arial"/>
                <w:sz w:val="17"/>
                <w:szCs w:val="17"/>
              </w:rPr>
              <w:t>Социальная поддержка больных с ТБ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1,190,613.70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1,340,644.00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1,400,000.00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1,450,000.00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1,450,000.00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1,450,000.00</w:t>
            </w:r>
          </w:p>
        </w:tc>
      </w:tr>
      <w:tr w:rsidR="006B282B" w:rsidRPr="00472913" w:rsidTr="00FB6C9D">
        <w:trPr>
          <w:trHeight w:val="28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472913" w:rsidRDefault="006B282B" w:rsidP="00FB6C9D">
            <w:pPr>
              <w:spacing w:after="0" w:line="240" w:lineRule="auto"/>
              <w:rPr>
                <w:rFonts w:ascii="Arial" w:eastAsia="Times New Roman" w:hAnsi="Arial"/>
                <w:b/>
                <w:sz w:val="17"/>
                <w:szCs w:val="17"/>
                <w:highlight w:val="green"/>
              </w:rPr>
            </w:pPr>
            <w:r w:rsidRPr="00DD7C44">
              <w:rPr>
                <w:rFonts w:ascii="Arial" w:eastAsia="Times New Roman" w:hAnsi="Arial"/>
                <w:sz w:val="17"/>
                <w:szCs w:val="17"/>
              </w:rPr>
              <w:t xml:space="preserve">Гранты НПО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75,000.00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sz w:val="16"/>
                <w:szCs w:val="16"/>
              </w:rPr>
              <w:t>150,000.00</w:t>
            </w:r>
          </w:p>
        </w:tc>
      </w:tr>
      <w:tr w:rsidR="006B282B" w:rsidRPr="00472913" w:rsidTr="00FB6C9D">
        <w:trPr>
          <w:trHeight w:val="35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2B" w:rsidRPr="00DD7C44" w:rsidRDefault="006B282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7"/>
                <w:szCs w:val="17"/>
                <w:highlight w:val="green"/>
              </w:rPr>
            </w:pPr>
            <w:r w:rsidRPr="00DD7C44">
              <w:rPr>
                <w:rFonts w:ascii="Arial" w:eastAsia="Times New Roman" w:hAnsi="Arial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48,548,520.50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50,301,485.00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50,357,233.00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50,453,391.00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50,528,391.00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D7C44">
              <w:rPr>
                <w:rFonts w:ascii="Arial" w:eastAsia="Times New Roman" w:hAnsi="Arial"/>
                <w:b/>
                <w:bCs/>
                <w:sz w:val="16"/>
                <w:szCs w:val="16"/>
              </w:rPr>
              <w:t>50,603,391.00</w:t>
            </w:r>
          </w:p>
        </w:tc>
      </w:tr>
      <w:tr w:rsidR="006B282B" w:rsidRPr="00472913" w:rsidTr="00FB6C9D">
        <w:trPr>
          <w:trHeight w:val="288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472913" w:rsidRDefault="006B282B" w:rsidP="00FB6C9D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D7C44">
              <w:rPr>
                <w:rFonts w:ascii="Arial" w:eastAsia="Times New Roman" w:hAnsi="Arial"/>
                <w:b/>
                <w:bCs/>
                <w:sz w:val="18"/>
                <w:szCs w:val="18"/>
              </w:rPr>
              <w:t>149,207,238.50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2B" w:rsidRPr="00DD7C44" w:rsidRDefault="006B282B" w:rsidP="00FB6C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DD7C44">
              <w:rPr>
                <w:rFonts w:ascii="Arial" w:eastAsia="Times New Roman" w:hAnsi="Arial"/>
                <w:b/>
                <w:bCs/>
                <w:sz w:val="18"/>
                <w:szCs w:val="18"/>
              </w:rPr>
              <w:t>151,585,173.00</w:t>
            </w:r>
          </w:p>
        </w:tc>
      </w:tr>
    </w:tbl>
    <w:p w:rsidR="00BA375E" w:rsidRDefault="00D97C66" w:rsidP="003F2160">
      <w:pPr>
        <w:spacing w:before="120" w:after="120" w:line="240" w:lineRule="auto"/>
        <w:jc w:val="both"/>
        <w:rPr>
          <w:rFonts w:ascii="Arial" w:hAnsi="Arial"/>
        </w:rPr>
      </w:pPr>
      <w:r w:rsidRPr="00D97C66">
        <w:rPr>
          <w:rFonts w:ascii="Arial" w:hAnsi="Arial"/>
        </w:rPr>
        <w:t xml:space="preserve">Сокращение финансирования на закупку противотуберкулезных препаратов объясняется уменьшением общего числа ожидаемых пациентов и снижением стоимости лекарств из-за закупки новых и </w:t>
      </w:r>
      <w:proofErr w:type="spellStart"/>
      <w:r>
        <w:rPr>
          <w:rFonts w:ascii="Arial" w:hAnsi="Arial"/>
        </w:rPr>
        <w:t>репрофилированных</w:t>
      </w:r>
      <w:proofErr w:type="spellEnd"/>
      <w:r w:rsidRPr="00D97C66">
        <w:rPr>
          <w:rFonts w:ascii="Arial" w:hAnsi="Arial"/>
        </w:rPr>
        <w:t xml:space="preserve"> лекарств через </w:t>
      </w:r>
      <w:r>
        <w:rPr>
          <w:rFonts w:ascii="Arial" w:hAnsi="Arial"/>
          <w:lang w:val="en-US"/>
        </w:rPr>
        <w:t>GDF</w:t>
      </w:r>
      <w:r w:rsidRPr="00D97C66">
        <w:rPr>
          <w:rFonts w:ascii="Arial" w:hAnsi="Arial"/>
        </w:rPr>
        <w:t xml:space="preserve"> из национального бюджета.</w:t>
      </w:r>
    </w:p>
    <w:p w:rsidR="00CC1075" w:rsidRDefault="003F2160" w:rsidP="003F2160">
      <w:pPr>
        <w:spacing w:before="120" w:after="120" w:line="240" w:lineRule="auto"/>
        <w:jc w:val="both"/>
        <w:rPr>
          <w:rFonts w:ascii="Arial" w:hAnsi="Arial"/>
        </w:rPr>
      </w:pPr>
      <w:r w:rsidRPr="0019276E">
        <w:rPr>
          <w:rFonts w:ascii="Arial" w:hAnsi="Arial"/>
        </w:rPr>
        <w:t xml:space="preserve">Источники </w:t>
      </w:r>
      <w:r w:rsidR="002312E3">
        <w:rPr>
          <w:rFonts w:ascii="Arial" w:hAnsi="Arial"/>
        </w:rPr>
        <w:t xml:space="preserve">внешнего </w:t>
      </w:r>
      <w:r w:rsidRPr="0019276E">
        <w:rPr>
          <w:rFonts w:ascii="Arial" w:hAnsi="Arial"/>
        </w:rPr>
        <w:t xml:space="preserve">финансирования на борьбу с ТБ в Казахстане являются ограниченными и включают, помимо ГФ, </w:t>
      </w:r>
      <w:r w:rsidR="002312E3">
        <w:rPr>
          <w:rFonts w:ascii="Arial" w:hAnsi="Arial"/>
          <w:lang w:val="en-US"/>
        </w:rPr>
        <w:t>USAID</w:t>
      </w:r>
      <w:r w:rsidR="002312E3">
        <w:rPr>
          <w:rFonts w:ascii="Arial" w:hAnsi="Arial"/>
        </w:rPr>
        <w:t>, Агентств</w:t>
      </w:r>
      <w:r w:rsidR="00CC1075">
        <w:rPr>
          <w:rFonts w:ascii="Arial" w:hAnsi="Arial"/>
        </w:rPr>
        <w:t>а</w:t>
      </w:r>
      <w:r w:rsidRPr="0019276E">
        <w:rPr>
          <w:rFonts w:ascii="Arial" w:hAnsi="Arial"/>
        </w:rPr>
        <w:t xml:space="preserve"> ООН, оказывающие техническую поддержку, и несколько других международных организаций, вносящих незначительный вклад. </w:t>
      </w:r>
    </w:p>
    <w:p w:rsidR="00CC1075" w:rsidRDefault="00CC1075" w:rsidP="003F2160">
      <w:pPr>
        <w:spacing w:before="120" w:after="120" w:line="240" w:lineRule="auto"/>
        <w:jc w:val="both"/>
        <w:rPr>
          <w:rFonts w:ascii="Arial" w:hAnsi="Arial"/>
        </w:rPr>
      </w:pPr>
      <w:r w:rsidRPr="00CC1075">
        <w:rPr>
          <w:rFonts w:ascii="Arial" w:hAnsi="Arial"/>
        </w:rPr>
        <w:t xml:space="preserve">В последние годы внешнюю поддержку </w:t>
      </w:r>
      <w:r>
        <w:rPr>
          <w:rFonts w:ascii="Arial" w:hAnsi="Arial"/>
        </w:rPr>
        <w:t>в борьбе с туберкулезом</w:t>
      </w:r>
      <w:r w:rsidRPr="00CC1075">
        <w:rPr>
          <w:rFonts w:ascii="Arial" w:hAnsi="Arial"/>
        </w:rPr>
        <w:t xml:space="preserve"> в Казахстане оказывали следующие партнерские организации:</w:t>
      </w:r>
    </w:p>
    <w:p w:rsidR="00CC1075" w:rsidRDefault="00CC1075" w:rsidP="00DD7C4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/>
        </w:rPr>
      </w:pPr>
      <w:r w:rsidRPr="00DD7C44">
        <w:rPr>
          <w:rFonts w:ascii="Arial" w:hAnsi="Arial"/>
        </w:rPr>
        <w:t xml:space="preserve">Партнеры </w:t>
      </w:r>
      <w:r>
        <w:rPr>
          <w:rFonts w:ascii="Arial" w:hAnsi="Arial"/>
        </w:rPr>
        <w:t>во имя здоровья</w:t>
      </w:r>
      <w:r w:rsidRPr="00DD7C44">
        <w:rPr>
          <w:rFonts w:ascii="Arial" w:hAnsi="Arial"/>
        </w:rPr>
        <w:t xml:space="preserve"> (</w:t>
      </w:r>
      <w:r>
        <w:rPr>
          <w:rFonts w:ascii="Arial" w:hAnsi="Arial"/>
        </w:rPr>
        <w:t>ПВЗ</w:t>
      </w:r>
      <w:r w:rsidRPr="00DD7C44">
        <w:rPr>
          <w:rFonts w:ascii="Arial" w:hAnsi="Arial"/>
        </w:rPr>
        <w:t xml:space="preserve">). </w:t>
      </w:r>
      <w:r w:rsidRPr="00DD7C44">
        <w:rPr>
          <w:rFonts w:ascii="Arial" w:hAnsi="Arial"/>
          <w:b w:val="0"/>
        </w:rPr>
        <w:t xml:space="preserve">Начиная с 2015 года, </w:t>
      </w:r>
      <w:r>
        <w:rPr>
          <w:rFonts w:ascii="Arial" w:hAnsi="Arial"/>
          <w:b w:val="0"/>
        </w:rPr>
        <w:t>ПВЗ</w:t>
      </w:r>
      <w:r w:rsidRPr="00DD7C44">
        <w:rPr>
          <w:rFonts w:ascii="Arial" w:hAnsi="Arial"/>
          <w:b w:val="0"/>
        </w:rPr>
        <w:t xml:space="preserve"> реализу</w:t>
      </w:r>
      <w:r>
        <w:rPr>
          <w:rFonts w:ascii="Arial" w:hAnsi="Arial"/>
          <w:b w:val="0"/>
        </w:rPr>
        <w:t>ю</w:t>
      </w:r>
      <w:r w:rsidRPr="00DD7C44">
        <w:rPr>
          <w:rFonts w:ascii="Arial" w:hAnsi="Arial"/>
          <w:b w:val="0"/>
        </w:rPr>
        <w:t xml:space="preserve">т проект </w:t>
      </w:r>
      <w:proofErr w:type="spellStart"/>
      <w:r w:rsidRPr="00DD7C44">
        <w:rPr>
          <w:rFonts w:ascii="Arial" w:hAnsi="Arial"/>
          <w:b w:val="0"/>
        </w:rPr>
        <w:t>endTB</w:t>
      </w:r>
      <w:proofErr w:type="spellEnd"/>
      <w:r w:rsidRPr="00DD7C44">
        <w:rPr>
          <w:rFonts w:ascii="Arial" w:hAnsi="Arial"/>
          <w:b w:val="0"/>
        </w:rPr>
        <w:t xml:space="preserve"> в Казахстане, направленный на расширение доступа к новым противотуберкулезным препаратам - </w:t>
      </w:r>
      <w:proofErr w:type="spellStart"/>
      <w:r w:rsidRPr="00DD7C44">
        <w:rPr>
          <w:rFonts w:ascii="Arial" w:hAnsi="Arial"/>
          <w:b w:val="0"/>
        </w:rPr>
        <w:t>бедаквилину</w:t>
      </w:r>
      <w:proofErr w:type="spellEnd"/>
      <w:r w:rsidRPr="00DD7C44">
        <w:rPr>
          <w:rFonts w:ascii="Arial" w:hAnsi="Arial"/>
          <w:b w:val="0"/>
        </w:rPr>
        <w:t xml:space="preserve"> и </w:t>
      </w:r>
      <w:proofErr w:type="spellStart"/>
      <w:r w:rsidRPr="00DD7C44">
        <w:rPr>
          <w:rFonts w:ascii="Arial" w:hAnsi="Arial"/>
          <w:b w:val="0"/>
        </w:rPr>
        <w:t>деламаниду</w:t>
      </w:r>
      <w:proofErr w:type="spellEnd"/>
      <w:r w:rsidRPr="00DD7C44">
        <w:rPr>
          <w:rFonts w:ascii="Arial" w:hAnsi="Arial"/>
          <w:b w:val="0"/>
        </w:rPr>
        <w:t xml:space="preserve">. По состоянию на 12 декабря 2018 года 675 пациентов с М / ШЛУ-ТБ были включены в обсервационное исследование и получили доступ к терапии новыми противотуберкулезными </w:t>
      </w:r>
      <w:r>
        <w:rPr>
          <w:rFonts w:ascii="Arial" w:hAnsi="Arial"/>
          <w:b w:val="0"/>
        </w:rPr>
        <w:t>и перепрофилированными</w:t>
      </w:r>
      <w:r w:rsidRPr="00DD7C44">
        <w:rPr>
          <w:rFonts w:ascii="Arial" w:hAnsi="Arial"/>
          <w:b w:val="0"/>
        </w:rPr>
        <w:t xml:space="preserve"> препаратами в 10 регионах Казахстана. </w:t>
      </w:r>
      <w:r>
        <w:rPr>
          <w:rFonts w:ascii="Arial" w:hAnsi="Arial"/>
          <w:b w:val="0"/>
        </w:rPr>
        <w:t>ПВЗ</w:t>
      </w:r>
      <w:r w:rsidRPr="00DD7C44">
        <w:rPr>
          <w:rFonts w:ascii="Arial" w:hAnsi="Arial"/>
          <w:b w:val="0"/>
        </w:rPr>
        <w:t xml:space="preserve"> предоставил</w:t>
      </w:r>
      <w:r>
        <w:rPr>
          <w:rFonts w:ascii="Arial" w:hAnsi="Arial"/>
          <w:b w:val="0"/>
        </w:rPr>
        <w:t>и</w:t>
      </w:r>
      <w:r w:rsidRPr="00DD7C44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НТП </w:t>
      </w:r>
      <w:r w:rsidRPr="00DD7C44">
        <w:rPr>
          <w:rFonts w:ascii="Arial" w:hAnsi="Arial"/>
          <w:b w:val="0"/>
        </w:rPr>
        <w:t>всестороннюю техническую помощь в расширении доступа к новым противотуберкулезным препаратам, поддержал</w:t>
      </w:r>
      <w:r>
        <w:rPr>
          <w:rFonts w:ascii="Arial" w:hAnsi="Arial"/>
          <w:b w:val="0"/>
        </w:rPr>
        <w:t>и</w:t>
      </w:r>
      <w:r w:rsidRPr="00DD7C44">
        <w:rPr>
          <w:rFonts w:ascii="Arial" w:hAnsi="Arial"/>
          <w:b w:val="0"/>
        </w:rPr>
        <w:t xml:space="preserve"> укрепление национального потенциала и предоставил</w:t>
      </w:r>
      <w:r>
        <w:rPr>
          <w:rFonts w:ascii="Arial" w:hAnsi="Arial"/>
          <w:b w:val="0"/>
        </w:rPr>
        <w:t>и</w:t>
      </w:r>
      <w:r w:rsidRPr="00DD7C44">
        <w:rPr>
          <w:rFonts w:ascii="Arial" w:hAnsi="Arial"/>
          <w:b w:val="0"/>
        </w:rPr>
        <w:t xml:space="preserve"> отдельные противотуберкулезные препараты (</w:t>
      </w:r>
      <w:proofErr w:type="spellStart"/>
      <w:r w:rsidRPr="00DD7C44">
        <w:rPr>
          <w:rFonts w:ascii="Arial" w:hAnsi="Arial"/>
          <w:b w:val="0"/>
        </w:rPr>
        <w:t>Bdq</w:t>
      </w:r>
      <w:proofErr w:type="spellEnd"/>
      <w:r w:rsidRPr="00DD7C44">
        <w:rPr>
          <w:rFonts w:ascii="Arial" w:hAnsi="Arial"/>
          <w:b w:val="0"/>
        </w:rPr>
        <w:t xml:space="preserve">, </w:t>
      </w:r>
      <w:proofErr w:type="spellStart"/>
      <w:r w:rsidRPr="00DD7C44">
        <w:rPr>
          <w:rFonts w:ascii="Arial" w:hAnsi="Arial"/>
          <w:b w:val="0"/>
        </w:rPr>
        <w:t>Dlm</w:t>
      </w:r>
      <w:proofErr w:type="spellEnd"/>
      <w:r w:rsidRPr="00DD7C44">
        <w:rPr>
          <w:rFonts w:ascii="Arial" w:hAnsi="Arial"/>
          <w:b w:val="0"/>
        </w:rPr>
        <w:t xml:space="preserve">, </w:t>
      </w:r>
      <w:proofErr w:type="spellStart"/>
      <w:r w:rsidRPr="00DD7C44">
        <w:rPr>
          <w:rFonts w:ascii="Arial" w:hAnsi="Arial"/>
          <w:b w:val="0"/>
        </w:rPr>
        <w:t>Lzd</w:t>
      </w:r>
      <w:proofErr w:type="spellEnd"/>
      <w:r w:rsidRPr="00DD7C44">
        <w:rPr>
          <w:rFonts w:ascii="Arial" w:hAnsi="Arial"/>
          <w:b w:val="0"/>
        </w:rPr>
        <w:t xml:space="preserve">, </w:t>
      </w:r>
      <w:proofErr w:type="spellStart"/>
      <w:r w:rsidRPr="00DD7C44">
        <w:rPr>
          <w:rFonts w:ascii="Arial" w:hAnsi="Arial"/>
          <w:b w:val="0"/>
        </w:rPr>
        <w:t>Cfz</w:t>
      </w:r>
      <w:proofErr w:type="spellEnd"/>
      <w:r w:rsidRPr="00DD7C44">
        <w:rPr>
          <w:rFonts w:ascii="Arial" w:hAnsi="Arial"/>
          <w:b w:val="0"/>
        </w:rPr>
        <w:t xml:space="preserve"> и </w:t>
      </w:r>
      <w:proofErr w:type="spellStart"/>
      <w:r w:rsidRPr="00DD7C44">
        <w:rPr>
          <w:rFonts w:ascii="Arial" w:hAnsi="Arial"/>
          <w:b w:val="0"/>
        </w:rPr>
        <w:t>Imi-Cls</w:t>
      </w:r>
      <w:proofErr w:type="spellEnd"/>
      <w:r w:rsidRPr="00DD7C44">
        <w:rPr>
          <w:rFonts w:ascii="Arial" w:hAnsi="Arial"/>
          <w:b w:val="0"/>
        </w:rPr>
        <w:t>).</w:t>
      </w:r>
    </w:p>
    <w:p w:rsidR="00633FBE" w:rsidRDefault="00633FBE" w:rsidP="00DD7C44">
      <w:pPr>
        <w:pStyle w:val="ListParagraph"/>
        <w:spacing w:before="120" w:after="120" w:line="240" w:lineRule="auto"/>
        <w:jc w:val="both"/>
        <w:rPr>
          <w:rFonts w:ascii="Arial" w:hAnsi="Arial"/>
        </w:rPr>
      </w:pPr>
    </w:p>
    <w:p w:rsidR="00633FBE" w:rsidRDefault="00FE4447" w:rsidP="00DD7C4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/>
        </w:rPr>
      </w:pPr>
      <w:r w:rsidRPr="00DD7C44">
        <w:rPr>
          <w:rFonts w:ascii="Arial" w:hAnsi="Arial"/>
        </w:rPr>
        <w:t>KNCV.</w:t>
      </w:r>
      <w:r w:rsidRPr="00FE4447">
        <w:rPr>
          <w:rFonts w:ascii="Arial" w:hAnsi="Arial"/>
          <w:b w:val="0"/>
        </w:rPr>
        <w:t xml:space="preserve"> В течение 2016-2018 гг. KNCV в рамках финансируемого USAID проекта </w:t>
      </w:r>
      <w:proofErr w:type="spellStart"/>
      <w:r w:rsidRPr="00FE4447">
        <w:rPr>
          <w:rFonts w:ascii="Arial" w:hAnsi="Arial"/>
          <w:b w:val="0"/>
        </w:rPr>
        <w:t>Challenge</w:t>
      </w:r>
      <w:proofErr w:type="spellEnd"/>
      <w:r w:rsidRPr="00FE4447">
        <w:rPr>
          <w:rFonts w:ascii="Arial" w:hAnsi="Arial"/>
          <w:b w:val="0"/>
        </w:rPr>
        <w:t xml:space="preserve"> TB поддержал внедрение новых схем лечения ЛУ-ТБ. Кроме того, в городе Алматы KNCV в рамках проекта «Построение моделей для будущего», финансируемого правительством Нидерландов, поддержал </w:t>
      </w:r>
      <w:r>
        <w:rPr>
          <w:rFonts w:ascii="Arial" w:hAnsi="Arial"/>
          <w:b w:val="0"/>
        </w:rPr>
        <w:t xml:space="preserve">внедрение </w:t>
      </w:r>
      <w:r w:rsidRPr="00FE4447">
        <w:rPr>
          <w:rFonts w:ascii="Arial" w:hAnsi="Arial"/>
          <w:b w:val="0"/>
        </w:rPr>
        <w:t>модел</w:t>
      </w:r>
      <w:r>
        <w:rPr>
          <w:rFonts w:ascii="Arial" w:hAnsi="Arial"/>
          <w:b w:val="0"/>
        </w:rPr>
        <w:t>и</w:t>
      </w:r>
      <w:r w:rsidRPr="00FE4447">
        <w:rPr>
          <w:rFonts w:ascii="Arial" w:hAnsi="Arial"/>
          <w:b w:val="0"/>
        </w:rPr>
        <w:t xml:space="preserve"> интегрированной помощи при туберкулезе и ВИЧ-инфекции для ключевых групп населения путем укрепления сотрудничества между государственным и частным секторами здравоохранения (включая </w:t>
      </w:r>
      <w:r>
        <w:rPr>
          <w:rFonts w:ascii="Arial" w:hAnsi="Arial"/>
          <w:b w:val="0"/>
        </w:rPr>
        <w:t>службу</w:t>
      </w:r>
      <w:r w:rsidRPr="00FE4447">
        <w:rPr>
          <w:rFonts w:ascii="Arial" w:hAnsi="Arial"/>
          <w:b w:val="0"/>
        </w:rPr>
        <w:t xml:space="preserve"> по борьбе с туберкулезом, </w:t>
      </w:r>
      <w:r>
        <w:rPr>
          <w:rFonts w:ascii="Arial" w:hAnsi="Arial"/>
          <w:b w:val="0"/>
        </w:rPr>
        <w:t>службу</w:t>
      </w:r>
      <w:r w:rsidRPr="00FE4447">
        <w:rPr>
          <w:rFonts w:ascii="Arial" w:hAnsi="Arial"/>
          <w:b w:val="0"/>
        </w:rPr>
        <w:t xml:space="preserve"> по ВИЧ, государственн</w:t>
      </w:r>
      <w:r>
        <w:rPr>
          <w:rFonts w:ascii="Arial" w:hAnsi="Arial"/>
          <w:b w:val="0"/>
        </w:rPr>
        <w:t>ую</w:t>
      </w:r>
      <w:r w:rsidRPr="00FE4447">
        <w:rPr>
          <w:rFonts w:ascii="Arial" w:hAnsi="Arial"/>
          <w:b w:val="0"/>
        </w:rPr>
        <w:t xml:space="preserve"> служб</w:t>
      </w:r>
      <w:r>
        <w:rPr>
          <w:rFonts w:ascii="Arial" w:hAnsi="Arial"/>
          <w:b w:val="0"/>
        </w:rPr>
        <w:t>у</w:t>
      </w:r>
      <w:r w:rsidRPr="00FE4447">
        <w:rPr>
          <w:rFonts w:ascii="Arial" w:hAnsi="Arial"/>
          <w:b w:val="0"/>
        </w:rPr>
        <w:t xml:space="preserve"> первичной медико-санитарной помощи, частные клиники и местные НПО). Снижение стигмы является еще одной областью технической поддержки KNCV. В связи с этим</w:t>
      </w:r>
      <w:r>
        <w:rPr>
          <w:rFonts w:ascii="Arial" w:hAnsi="Arial"/>
          <w:b w:val="0"/>
        </w:rPr>
        <w:t>,</w:t>
      </w:r>
      <w:r w:rsidRPr="00FE4447">
        <w:rPr>
          <w:rFonts w:ascii="Arial" w:hAnsi="Arial"/>
          <w:b w:val="0"/>
        </w:rPr>
        <w:t xml:space="preserve"> KNCV внедрил методологию Photovoices в городе Алматы как инструмент для снижения стигмы. Кроме того, при финансовой поддержке голландского частного донора (</w:t>
      </w:r>
      <w:proofErr w:type="spellStart"/>
      <w:r w:rsidRPr="00FE4447">
        <w:rPr>
          <w:rFonts w:ascii="Arial" w:hAnsi="Arial"/>
          <w:b w:val="0"/>
        </w:rPr>
        <w:t>Wessel</w:t>
      </w:r>
      <w:proofErr w:type="spellEnd"/>
      <w:r w:rsidRPr="00FE4447">
        <w:rPr>
          <w:rFonts w:ascii="Arial" w:hAnsi="Arial"/>
          <w:b w:val="0"/>
        </w:rPr>
        <w:t xml:space="preserve"> </w:t>
      </w:r>
      <w:proofErr w:type="spellStart"/>
      <w:r w:rsidRPr="00FE4447">
        <w:rPr>
          <w:rFonts w:ascii="Arial" w:hAnsi="Arial"/>
          <w:b w:val="0"/>
        </w:rPr>
        <w:t>Foundation</w:t>
      </w:r>
      <w:proofErr w:type="spellEnd"/>
      <w:r w:rsidRPr="00FE4447">
        <w:rPr>
          <w:rFonts w:ascii="Arial" w:hAnsi="Arial"/>
          <w:b w:val="0"/>
        </w:rPr>
        <w:t xml:space="preserve">) KNCV разработал инструмент для снижения стигмы, который в настоящее время внедряется в пяти медицинских учреждениях города Алматы. Являясь </w:t>
      </w:r>
      <w:proofErr w:type="spellStart"/>
      <w:r w:rsidRPr="00FE4447">
        <w:rPr>
          <w:rFonts w:ascii="Arial" w:hAnsi="Arial"/>
          <w:b w:val="0"/>
        </w:rPr>
        <w:t>суб</w:t>
      </w:r>
      <w:proofErr w:type="spellEnd"/>
      <w:r w:rsidRPr="00FE4447">
        <w:rPr>
          <w:rFonts w:ascii="Arial" w:hAnsi="Arial"/>
          <w:b w:val="0"/>
        </w:rPr>
        <w:t>-</w:t>
      </w:r>
      <w:r w:rsidRPr="00FE4447">
        <w:rPr>
          <w:rFonts w:ascii="Arial" w:hAnsi="Arial"/>
          <w:b w:val="0"/>
        </w:rPr>
        <w:lastRenderedPageBreak/>
        <w:t xml:space="preserve">реципиентом </w:t>
      </w:r>
      <w:r>
        <w:rPr>
          <w:rFonts w:ascii="Arial" w:hAnsi="Arial"/>
          <w:b w:val="0"/>
        </w:rPr>
        <w:t>гранта ТБ ГФ</w:t>
      </w:r>
      <w:r w:rsidRPr="00FE4447">
        <w:rPr>
          <w:rFonts w:ascii="Arial" w:hAnsi="Arial"/>
          <w:b w:val="0"/>
        </w:rPr>
        <w:t>, KNCV оказывает техническую поддержку в укреплении потенциала местных НПО по оказанию помощи при туберкулезе.</w:t>
      </w:r>
    </w:p>
    <w:p w:rsidR="002F781E" w:rsidRDefault="002F781E" w:rsidP="00DD7C44">
      <w:pPr>
        <w:pStyle w:val="ListParagraph"/>
        <w:spacing w:before="120" w:after="120" w:line="240" w:lineRule="auto"/>
        <w:jc w:val="both"/>
        <w:rPr>
          <w:rFonts w:ascii="Arial" w:hAnsi="Arial"/>
        </w:rPr>
      </w:pPr>
    </w:p>
    <w:p w:rsidR="00FE4447" w:rsidRPr="00DD7C44" w:rsidRDefault="00153AB5" w:rsidP="00DD7C4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/>
        </w:rPr>
      </w:pPr>
      <w:r w:rsidRPr="00DD7C44">
        <w:rPr>
          <w:rFonts w:ascii="Arial" w:hAnsi="Arial"/>
        </w:rPr>
        <w:t>Проект НОРЕ.</w:t>
      </w:r>
      <w:r w:rsidRPr="00153AB5">
        <w:rPr>
          <w:rFonts w:ascii="Arial" w:hAnsi="Arial"/>
          <w:b w:val="0"/>
        </w:rPr>
        <w:t xml:space="preserve"> Проект </w:t>
      </w:r>
      <w:r>
        <w:rPr>
          <w:rFonts w:ascii="Arial" w:hAnsi="Arial"/>
          <w:b w:val="0"/>
        </w:rPr>
        <w:t>НОРЕ</w:t>
      </w:r>
      <w:r w:rsidRPr="00153AB5">
        <w:rPr>
          <w:rFonts w:ascii="Arial" w:hAnsi="Arial"/>
          <w:b w:val="0"/>
        </w:rPr>
        <w:t>, в качестве основного реципиента, реализова</w:t>
      </w:r>
      <w:r>
        <w:rPr>
          <w:rFonts w:ascii="Arial" w:hAnsi="Arial"/>
          <w:b w:val="0"/>
        </w:rPr>
        <w:t>л</w:t>
      </w:r>
      <w:r w:rsidRPr="00153AB5">
        <w:rPr>
          <w:rFonts w:ascii="Arial" w:hAnsi="Arial"/>
          <w:b w:val="0"/>
        </w:rPr>
        <w:t xml:space="preserve"> в декабре 2014 года - декабре 2017 года</w:t>
      </w:r>
      <w:r>
        <w:rPr>
          <w:rFonts w:ascii="Arial" w:hAnsi="Arial"/>
          <w:b w:val="0"/>
        </w:rPr>
        <w:t xml:space="preserve"> проект по</w:t>
      </w:r>
      <w:r w:rsidRPr="00153AB5">
        <w:rPr>
          <w:rFonts w:ascii="Arial" w:hAnsi="Arial"/>
          <w:b w:val="0"/>
        </w:rPr>
        <w:t xml:space="preserve"> «Борьб</w:t>
      </w:r>
      <w:r>
        <w:rPr>
          <w:rFonts w:ascii="Arial" w:hAnsi="Arial"/>
          <w:b w:val="0"/>
        </w:rPr>
        <w:t>е</w:t>
      </w:r>
      <w:r w:rsidRPr="00153AB5">
        <w:rPr>
          <w:rFonts w:ascii="Arial" w:hAnsi="Arial"/>
          <w:b w:val="0"/>
        </w:rPr>
        <w:t xml:space="preserve"> с трансграничным туберкулезом, М / ШЛУ-ТБ и ТБ / ВИЧ среди трудовых мигрантов» в рамках гранта ТБ </w:t>
      </w:r>
      <w:r w:rsidRPr="00DD7C44">
        <w:rPr>
          <w:rFonts w:ascii="Arial" w:hAnsi="Arial"/>
          <w:b w:val="0"/>
        </w:rPr>
        <w:t xml:space="preserve">Глобального фонда для Казахстана. Основными задачами программы были: а) устранение правовых барьеров для доступа к уходу для внутренних и внешних мигрантов; б) обеспечение профилактики туберкулеза и ухода </w:t>
      </w:r>
      <w:r w:rsidR="006E0EAD" w:rsidRPr="00DD7C44">
        <w:rPr>
          <w:rFonts w:ascii="Arial" w:hAnsi="Arial"/>
          <w:b w:val="0"/>
        </w:rPr>
        <w:t>для</w:t>
      </w:r>
      <w:r w:rsidRPr="00DD7C44">
        <w:rPr>
          <w:rFonts w:ascii="Arial" w:hAnsi="Arial"/>
          <w:b w:val="0"/>
        </w:rPr>
        <w:t xml:space="preserve"> мигрант</w:t>
      </w:r>
      <w:r w:rsidR="006E0EAD" w:rsidRPr="00DD7C44">
        <w:rPr>
          <w:rFonts w:ascii="Arial" w:hAnsi="Arial"/>
          <w:b w:val="0"/>
        </w:rPr>
        <w:t>ов</w:t>
      </w:r>
      <w:r w:rsidRPr="00DD7C44">
        <w:rPr>
          <w:rFonts w:ascii="Arial" w:hAnsi="Arial"/>
          <w:b w:val="0"/>
        </w:rPr>
        <w:t xml:space="preserve">; c) укрепление систем сообществ и повышение роли гражданского общества с акцентом на четыре ключевых компонента: управление, предоставление услуг, мониторинг и наблюдение, поддержка среды. Мероприятия были разработаны в соответствии с Минимальным пакетом мер по борьбе с трансграничным туберкулезом и лечению в Европейском регионе ВОЗ: </w:t>
      </w:r>
      <w:proofErr w:type="spellStart"/>
      <w:r w:rsidRPr="00DD7C44">
        <w:rPr>
          <w:rFonts w:ascii="Arial" w:hAnsi="Arial"/>
          <w:b w:val="0"/>
        </w:rPr>
        <w:t>Консенсусное</w:t>
      </w:r>
      <w:proofErr w:type="spellEnd"/>
      <w:r w:rsidRPr="00DD7C44">
        <w:rPr>
          <w:rFonts w:ascii="Arial" w:hAnsi="Arial"/>
          <w:b w:val="0"/>
        </w:rPr>
        <w:t xml:space="preserve"> заявление </w:t>
      </w:r>
      <w:proofErr w:type="spellStart"/>
      <w:r w:rsidRPr="00DD7C44">
        <w:rPr>
          <w:rFonts w:ascii="Arial" w:hAnsi="Arial"/>
          <w:b w:val="0"/>
        </w:rPr>
        <w:t>Вольфхезе</w:t>
      </w:r>
      <w:proofErr w:type="spellEnd"/>
      <w:r w:rsidRPr="00DD7C44">
        <w:rPr>
          <w:rFonts w:ascii="Arial" w:hAnsi="Arial"/>
          <w:b w:val="0"/>
        </w:rPr>
        <w:t xml:space="preserve"> (2012 г.) и способствовали усилиям национальной программы борьбы с туберкулезом в области, изложенной в Комплексном плане по </w:t>
      </w:r>
      <w:r w:rsidR="006E0EAD" w:rsidRPr="00DD7C44">
        <w:rPr>
          <w:rFonts w:ascii="Arial" w:hAnsi="Arial"/>
          <w:b w:val="0"/>
        </w:rPr>
        <w:t>борьбе с ТБ</w:t>
      </w:r>
      <w:r w:rsidRPr="00DD7C44">
        <w:rPr>
          <w:rFonts w:ascii="Arial" w:hAnsi="Arial"/>
          <w:b w:val="0"/>
        </w:rPr>
        <w:t xml:space="preserve"> и МЛУ</w:t>
      </w:r>
      <w:r w:rsidR="006E0EAD" w:rsidRPr="00DD7C44">
        <w:rPr>
          <w:rFonts w:ascii="Arial" w:hAnsi="Arial"/>
          <w:b w:val="0"/>
        </w:rPr>
        <w:t>-</w:t>
      </w:r>
      <w:r w:rsidRPr="00DD7C44">
        <w:rPr>
          <w:rFonts w:ascii="Arial" w:hAnsi="Arial"/>
          <w:b w:val="0"/>
        </w:rPr>
        <w:t xml:space="preserve"> ТБ в Республике Казахстан на 2014-2020 годы. Пилотными территориями программы были Астана, Алматы, Караганда, Шымкент, </w:t>
      </w:r>
      <w:proofErr w:type="spellStart"/>
      <w:r w:rsidRPr="00DD7C44">
        <w:rPr>
          <w:rFonts w:ascii="Arial" w:hAnsi="Arial"/>
          <w:b w:val="0"/>
        </w:rPr>
        <w:t>Тараз</w:t>
      </w:r>
      <w:proofErr w:type="spellEnd"/>
      <w:r w:rsidRPr="00DD7C44">
        <w:rPr>
          <w:rFonts w:ascii="Arial" w:hAnsi="Arial"/>
          <w:b w:val="0"/>
        </w:rPr>
        <w:t xml:space="preserve">, </w:t>
      </w:r>
      <w:proofErr w:type="spellStart"/>
      <w:r w:rsidRPr="00DD7C44">
        <w:rPr>
          <w:rFonts w:ascii="Arial" w:hAnsi="Arial"/>
          <w:b w:val="0"/>
        </w:rPr>
        <w:t>Темиртай</w:t>
      </w:r>
      <w:proofErr w:type="spellEnd"/>
      <w:r w:rsidRPr="00DD7C44">
        <w:rPr>
          <w:rFonts w:ascii="Arial" w:hAnsi="Arial"/>
          <w:b w:val="0"/>
        </w:rPr>
        <w:t xml:space="preserve">, Актау, </w:t>
      </w:r>
      <w:proofErr w:type="spellStart"/>
      <w:r w:rsidRPr="00DD7C44">
        <w:rPr>
          <w:rFonts w:ascii="Arial" w:hAnsi="Arial"/>
          <w:b w:val="0"/>
        </w:rPr>
        <w:t>Актобе</w:t>
      </w:r>
      <w:proofErr w:type="spellEnd"/>
      <w:r w:rsidRPr="00DD7C44">
        <w:rPr>
          <w:rFonts w:ascii="Arial" w:hAnsi="Arial"/>
          <w:b w:val="0"/>
        </w:rPr>
        <w:t xml:space="preserve">, </w:t>
      </w:r>
      <w:proofErr w:type="spellStart"/>
      <w:r w:rsidRPr="00DD7C44">
        <w:rPr>
          <w:rFonts w:ascii="Arial" w:hAnsi="Arial"/>
          <w:b w:val="0"/>
        </w:rPr>
        <w:t>Алматинская</w:t>
      </w:r>
      <w:proofErr w:type="spellEnd"/>
      <w:r w:rsidRPr="00DD7C44">
        <w:rPr>
          <w:rFonts w:ascii="Arial" w:hAnsi="Arial"/>
          <w:b w:val="0"/>
        </w:rPr>
        <w:t xml:space="preserve"> область и 2 района Южно-Казахстанской области.</w:t>
      </w:r>
    </w:p>
    <w:p w:rsidR="00CC1075" w:rsidRDefault="00CC1075" w:rsidP="003F2160">
      <w:pPr>
        <w:spacing w:before="120" w:after="120" w:line="240" w:lineRule="auto"/>
        <w:jc w:val="both"/>
        <w:rPr>
          <w:rFonts w:ascii="Arial" w:hAnsi="Arial"/>
        </w:rPr>
      </w:pPr>
    </w:p>
    <w:p w:rsidR="00CC1075" w:rsidRDefault="00FB6C9D" w:rsidP="00DD7C44">
      <w:pPr>
        <w:spacing w:before="120" w:after="120" w:line="240" w:lineRule="auto"/>
        <w:ind w:left="708"/>
        <w:jc w:val="both"/>
        <w:rPr>
          <w:rFonts w:ascii="Arial" w:hAnsi="Arial"/>
        </w:rPr>
      </w:pPr>
      <w:r w:rsidRPr="00FB6C9D">
        <w:rPr>
          <w:rFonts w:ascii="Arial" w:hAnsi="Arial"/>
        </w:rPr>
        <w:t xml:space="preserve">В ходе реализации программы в 2014-2017 </w:t>
      </w:r>
      <w:proofErr w:type="spellStart"/>
      <w:r w:rsidRPr="00FB6C9D">
        <w:rPr>
          <w:rFonts w:ascii="Arial" w:hAnsi="Arial"/>
        </w:rPr>
        <w:t>гг</w:t>
      </w:r>
      <w:proofErr w:type="spellEnd"/>
      <w:r w:rsidRPr="00FB6C9D">
        <w:rPr>
          <w:rFonts w:ascii="Arial" w:hAnsi="Arial"/>
        </w:rPr>
        <w:t xml:space="preserve">: 1) Создана сеть медицинских учреждений, </w:t>
      </w:r>
      <w:r>
        <w:rPr>
          <w:rFonts w:ascii="Arial" w:hAnsi="Arial"/>
        </w:rPr>
        <w:t>дружественных</w:t>
      </w:r>
      <w:r w:rsidRPr="00FB6C9D">
        <w:rPr>
          <w:rFonts w:ascii="Arial" w:hAnsi="Arial"/>
        </w:rPr>
        <w:t xml:space="preserve"> для мигрантов, </w:t>
      </w:r>
      <w:r>
        <w:rPr>
          <w:rFonts w:ascii="Arial" w:hAnsi="Arial"/>
        </w:rPr>
        <w:t>в</w:t>
      </w:r>
      <w:r w:rsidRPr="00FB6C9D">
        <w:rPr>
          <w:rFonts w:ascii="Arial" w:hAnsi="Arial"/>
        </w:rPr>
        <w:t xml:space="preserve"> пилотных территориях Казахстана; </w:t>
      </w:r>
      <w:r>
        <w:rPr>
          <w:rFonts w:ascii="Arial" w:hAnsi="Arial"/>
        </w:rPr>
        <w:t xml:space="preserve">   </w:t>
      </w:r>
      <w:r w:rsidRPr="00FB6C9D">
        <w:rPr>
          <w:rFonts w:ascii="Arial" w:hAnsi="Arial"/>
        </w:rPr>
        <w:t>2) Модель участия местных неправительственных организаций в мероприятиях по борьбе с туберкулезом среди мигрантов была разработана и внедрена в различных областях, таких как город, в сельской местности и в приграничных районах с другими странами</w:t>
      </w:r>
      <w:r>
        <w:rPr>
          <w:rFonts w:ascii="Arial" w:hAnsi="Arial"/>
        </w:rPr>
        <w:t>;</w:t>
      </w:r>
      <w:r w:rsidRPr="00FB6C9D">
        <w:rPr>
          <w:rFonts w:ascii="Arial" w:hAnsi="Arial"/>
        </w:rPr>
        <w:t xml:space="preserve"> 3) Создана сеть из шести неправительственных организаций</w:t>
      </w:r>
      <w:r>
        <w:rPr>
          <w:rFonts w:ascii="Arial" w:hAnsi="Arial"/>
        </w:rPr>
        <w:t xml:space="preserve"> </w:t>
      </w:r>
      <w:r w:rsidRPr="00FB6C9D">
        <w:rPr>
          <w:rFonts w:ascii="Arial" w:hAnsi="Arial"/>
        </w:rPr>
        <w:t xml:space="preserve">по борьбе с туберкулезом среди мигрантов </w:t>
      </w:r>
      <w:r>
        <w:rPr>
          <w:rFonts w:ascii="Arial" w:hAnsi="Arial"/>
        </w:rPr>
        <w:t>в</w:t>
      </w:r>
      <w:r w:rsidRPr="00FB6C9D">
        <w:rPr>
          <w:rFonts w:ascii="Arial" w:hAnsi="Arial"/>
        </w:rPr>
        <w:t xml:space="preserve"> пилотных территориях Казахстана, а также </w:t>
      </w:r>
      <w:r>
        <w:rPr>
          <w:rFonts w:ascii="Arial" w:hAnsi="Arial"/>
        </w:rPr>
        <w:t xml:space="preserve">начат </w:t>
      </w:r>
      <w:r w:rsidRPr="00FB6C9D">
        <w:rPr>
          <w:rFonts w:ascii="Arial" w:hAnsi="Arial"/>
        </w:rPr>
        <w:t xml:space="preserve">региональный диалог по созданию </w:t>
      </w:r>
      <w:r>
        <w:rPr>
          <w:rFonts w:ascii="Arial" w:hAnsi="Arial"/>
        </w:rPr>
        <w:t>Ц</w:t>
      </w:r>
      <w:r w:rsidRPr="00FB6C9D">
        <w:rPr>
          <w:rFonts w:ascii="Arial" w:hAnsi="Arial"/>
        </w:rPr>
        <w:t>ентрально</w:t>
      </w:r>
      <w:r>
        <w:rPr>
          <w:rFonts w:ascii="Arial" w:hAnsi="Arial"/>
        </w:rPr>
        <w:t>-</w:t>
      </w:r>
      <w:r w:rsidRPr="00FB6C9D">
        <w:rPr>
          <w:rFonts w:ascii="Arial" w:hAnsi="Arial"/>
        </w:rPr>
        <w:t>азиатской сети неправительственных организаций, реализующих проекты по борьбе с туберкулезом среди мигрантов; 4) Разработа</w:t>
      </w:r>
      <w:r>
        <w:rPr>
          <w:rFonts w:ascii="Arial" w:hAnsi="Arial"/>
        </w:rPr>
        <w:t>на</w:t>
      </w:r>
      <w:r w:rsidRPr="00FB6C9D">
        <w:rPr>
          <w:rFonts w:ascii="Arial" w:hAnsi="Arial"/>
        </w:rPr>
        <w:t xml:space="preserve"> и внедр</w:t>
      </w:r>
      <w:r>
        <w:rPr>
          <w:rFonts w:ascii="Arial" w:hAnsi="Arial"/>
        </w:rPr>
        <w:t>ена</w:t>
      </w:r>
      <w:r w:rsidRPr="00FB6C9D">
        <w:rPr>
          <w:rFonts w:ascii="Arial" w:hAnsi="Arial"/>
        </w:rPr>
        <w:t xml:space="preserve"> модель подхода к улучшению приверженности</w:t>
      </w:r>
      <w:r>
        <w:rPr>
          <w:rFonts w:ascii="Arial" w:hAnsi="Arial"/>
        </w:rPr>
        <w:t xml:space="preserve"> к</w:t>
      </w:r>
      <w:r w:rsidRPr="00FB6C9D">
        <w:rPr>
          <w:rFonts w:ascii="Arial" w:hAnsi="Arial"/>
        </w:rPr>
        <w:t xml:space="preserve"> лечению среди трудовых мигрантов, включая совместную деятельность с МОМ и другими партнерами для удовлетворения потребностей мигрантов в </w:t>
      </w:r>
      <w:r>
        <w:rPr>
          <w:rFonts w:ascii="Arial" w:hAnsi="Arial"/>
        </w:rPr>
        <w:t>виде</w:t>
      </w:r>
      <w:r w:rsidRPr="00FB6C9D">
        <w:rPr>
          <w:rFonts w:ascii="Arial" w:hAnsi="Arial"/>
        </w:rPr>
        <w:t xml:space="preserve"> юридической поддержки, пере</w:t>
      </w:r>
      <w:r>
        <w:rPr>
          <w:rFonts w:ascii="Arial" w:hAnsi="Arial"/>
        </w:rPr>
        <w:t>воду</w:t>
      </w:r>
      <w:r w:rsidRPr="00FB6C9D">
        <w:rPr>
          <w:rFonts w:ascii="Arial" w:hAnsi="Arial"/>
        </w:rPr>
        <w:t xml:space="preserve"> на родину для обеспечения продолжения лечения; 5) </w:t>
      </w:r>
      <w:r w:rsidR="00F718C1" w:rsidRPr="00FB6C9D">
        <w:rPr>
          <w:rFonts w:ascii="Arial" w:hAnsi="Arial"/>
        </w:rPr>
        <w:t>Выявлены</w:t>
      </w:r>
      <w:r w:rsidR="00F718C1">
        <w:rPr>
          <w:rFonts w:ascii="Arial" w:hAnsi="Arial"/>
        </w:rPr>
        <w:t xml:space="preserve"> и установлены</w:t>
      </w:r>
      <w:r w:rsidRPr="00FB6C9D">
        <w:rPr>
          <w:rFonts w:ascii="Arial" w:hAnsi="Arial"/>
        </w:rPr>
        <w:t xml:space="preserve"> информационные каналы для трудовых мигрантов в стране назначения для обеспечения информационных мероприятий перед отъездом; 6) Поддержка разработки двусторонних соглашений о борьбе с туберкулезом между Казахстаном и Кыргызстаном, а также Казахстаном и Таджикистаном. Планируется, что двусторонние соглашения будут подписаны в первой половине 2019 года. Также был проведен тренинг по использованию трансграничного обмена данными по борьбе с туберкулезом для представителей стран Центральной Азии, за исключением Туркменистана. 7) Несколько документов, включая Национальное руководство по борьбе с туберкулезом среди </w:t>
      </w:r>
      <w:r w:rsidR="00F718C1">
        <w:rPr>
          <w:rFonts w:ascii="Arial" w:hAnsi="Arial"/>
        </w:rPr>
        <w:t>м</w:t>
      </w:r>
      <w:r w:rsidRPr="00FB6C9D">
        <w:rPr>
          <w:rFonts w:ascii="Arial" w:hAnsi="Arial"/>
        </w:rPr>
        <w:t>игрант</w:t>
      </w:r>
      <w:r w:rsidR="00F718C1" w:rsidRPr="00DD7C44">
        <w:rPr>
          <w:rFonts w:ascii="Arial" w:hAnsi="Arial"/>
        </w:rPr>
        <w:t>ов</w:t>
      </w:r>
      <w:r w:rsidRPr="00FB6C9D">
        <w:rPr>
          <w:rFonts w:ascii="Arial" w:hAnsi="Arial"/>
        </w:rPr>
        <w:t xml:space="preserve"> и информационные учебные материалы, ориентированные на ключевые группы населения, были разработаны с целью использования их по всей стране и в соседних странах. В 2015–2017 годах более 145</w:t>
      </w:r>
      <w:r w:rsidR="00F718C1">
        <w:rPr>
          <w:rFonts w:ascii="Arial" w:hAnsi="Arial"/>
        </w:rPr>
        <w:t>,</w:t>
      </w:r>
      <w:r w:rsidRPr="00FB6C9D">
        <w:rPr>
          <w:rFonts w:ascii="Arial" w:hAnsi="Arial"/>
        </w:rPr>
        <w:t xml:space="preserve">000 мигрантов были охвачены информационной сессией </w:t>
      </w:r>
      <w:proofErr w:type="spellStart"/>
      <w:r w:rsidRPr="00FB6C9D">
        <w:rPr>
          <w:rFonts w:ascii="Arial" w:hAnsi="Arial"/>
        </w:rPr>
        <w:t>аутрич</w:t>
      </w:r>
      <w:proofErr w:type="spellEnd"/>
      <w:r w:rsidRPr="00FB6C9D">
        <w:rPr>
          <w:rFonts w:ascii="Arial" w:hAnsi="Arial"/>
        </w:rPr>
        <w:t>-работниками, более 44</w:t>
      </w:r>
      <w:r w:rsidR="00F718C1">
        <w:rPr>
          <w:rFonts w:ascii="Arial" w:hAnsi="Arial"/>
        </w:rPr>
        <w:t>,</w:t>
      </w:r>
      <w:r w:rsidRPr="00FB6C9D">
        <w:rPr>
          <w:rFonts w:ascii="Arial" w:hAnsi="Arial"/>
        </w:rPr>
        <w:t>000 были обследованы на туберкулез и было выявлено 1</w:t>
      </w:r>
      <w:r w:rsidR="00F718C1">
        <w:rPr>
          <w:rFonts w:ascii="Arial" w:hAnsi="Arial"/>
        </w:rPr>
        <w:t>,</w:t>
      </w:r>
      <w:r w:rsidRPr="00FB6C9D">
        <w:rPr>
          <w:rFonts w:ascii="Arial" w:hAnsi="Arial"/>
        </w:rPr>
        <w:t>607 больных туберкулезом (401 внешни</w:t>
      </w:r>
      <w:r w:rsidR="00F718C1">
        <w:rPr>
          <w:rFonts w:ascii="Arial" w:hAnsi="Arial"/>
        </w:rPr>
        <w:t>х</w:t>
      </w:r>
      <w:r w:rsidRPr="00FB6C9D">
        <w:rPr>
          <w:rFonts w:ascii="Arial" w:hAnsi="Arial"/>
        </w:rPr>
        <w:t xml:space="preserve"> и 1</w:t>
      </w:r>
      <w:r w:rsidR="00F718C1">
        <w:rPr>
          <w:rFonts w:ascii="Arial" w:hAnsi="Arial"/>
        </w:rPr>
        <w:t>,</w:t>
      </w:r>
      <w:r w:rsidRPr="00FB6C9D">
        <w:rPr>
          <w:rFonts w:ascii="Arial" w:hAnsi="Arial"/>
        </w:rPr>
        <w:t>206 внутренних мигрантов).</w:t>
      </w:r>
    </w:p>
    <w:p w:rsidR="00CC1075" w:rsidRDefault="00600090" w:rsidP="00DD7C44">
      <w:pPr>
        <w:spacing w:before="120" w:after="120" w:line="240" w:lineRule="auto"/>
        <w:ind w:left="708"/>
        <w:jc w:val="both"/>
        <w:rPr>
          <w:rFonts w:ascii="Arial" w:hAnsi="Arial"/>
        </w:rPr>
      </w:pPr>
      <w:r w:rsidRPr="00600090">
        <w:rPr>
          <w:rFonts w:ascii="Arial" w:hAnsi="Arial"/>
        </w:rPr>
        <w:t xml:space="preserve">С января 2018 года проект HOPE в качестве </w:t>
      </w:r>
      <w:proofErr w:type="spellStart"/>
      <w:r w:rsidRPr="00600090">
        <w:rPr>
          <w:rFonts w:ascii="Arial" w:hAnsi="Arial"/>
        </w:rPr>
        <w:t>суб</w:t>
      </w:r>
      <w:proofErr w:type="spellEnd"/>
      <w:r>
        <w:rPr>
          <w:rFonts w:ascii="Arial" w:hAnsi="Arial"/>
        </w:rPr>
        <w:t>-</w:t>
      </w:r>
      <w:r w:rsidRPr="00600090">
        <w:rPr>
          <w:rFonts w:ascii="Arial" w:hAnsi="Arial"/>
        </w:rPr>
        <w:t xml:space="preserve">реципиента гранта Глобального фонда, осуществляемого Национальным </w:t>
      </w:r>
      <w:r>
        <w:rPr>
          <w:rFonts w:ascii="Arial" w:hAnsi="Arial"/>
        </w:rPr>
        <w:t>научным</w:t>
      </w:r>
      <w:r w:rsidRPr="00600090">
        <w:rPr>
          <w:rFonts w:ascii="Arial" w:hAnsi="Arial"/>
        </w:rPr>
        <w:t xml:space="preserve"> центром </w:t>
      </w:r>
      <w:proofErr w:type="spellStart"/>
      <w:r w:rsidRPr="00600090">
        <w:rPr>
          <w:rFonts w:ascii="Arial" w:hAnsi="Arial"/>
        </w:rPr>
        <w:t>фтизиопульмонологии</w:t>
      </w:r>
      <w:proofErr w:type="spellEnd"/>
      <w:r w:rsidRPr="00600090">
        <w:rPr>
          <w:rFonts w:ascii="Arial" w:hAnsi="Arial"/>
        </w:rPr>
        <w:t>, с ограниченным объемом работ</w:t>
      </w:r>
      <w:r>
        <w:rPr>
          <w:rFonts w:ascii="Arial" w:hAnsi="Arial"/>
        </w:rPr>
        <w:t>,</w:t>
      </w:r>
      <w:r w:rsidRPr="00600090">
        <w:rPr>
          <w:rFonts w:ascii="Arial" w:hAnsi="Arial"/>
        </w:rPr>
        <w:t xml:space="preserve"> осуществляет мероприятия </w:t>
      </w:r>
      <w:r>
        <w:rPr>
          <w:rFonts w:ascii="Arial" w:hAnsi="Arial"/>
        </w:rPr>
        <w:t xml:space="preserve">по </w:t>
      </w:r>
      <w:r w:rsidRPr="00600090">
        <w:rPr>
          <w:rFonts w:ascii="Arial" w:hAnsi="Arial"/>
        </w:rPr>
        <w:t>«Борьб</w:t>
      </w:r>
      <w:r>
        <w:rPr>
          <w:rFonts w:ascii="Arial" w:hAnsi="Arial"/>
        </w:rPr>
        <w:t>е</w:t>
      </w:r>
      <w:r w:rsidRPr="00600090">
        <w:rPr>
          <w:rFonts w:ascii="Arial" w:hAnsi="Arial"/>
        </w:rPr>
        <w:t xml:space="preserve"> с трансграничным туберкулезом, М/ШЛУ-ТБ и туберкулезом/ВИЧ среди трудовых мигрантов»</w:t>
      </w:r>
      <w:r>
        <w:rPr>
          <w:rFonts w:ascii="Arial" w:hAnsi="Arial"/>
        </w:rPr>
        <w:t xml:space="preserve"> </w:t>
      </w:r>
      <w:r w:rsidRPr="00600090">
        <w:rPr>
          <w:rFonts w:ascii="Arial" w:hAnsi="Arial"/>
        </w:rPr>
        <w:t xml:space="preserve">в городах Астана, Алматы, Караганда, </w:t>
      </w:r>
      <w:r>
        <w:rPr>
          <w:rFonts w:ascii="Arial" w:hAnsi="Arial"/>
        </w:rPr>
        <w:t xml:space="preserve">и </w:t>
      </w:r>
      <w:proofErr w:type="spellStart"/>
      <w:r w:rsidRPr="00600090">
        <w:rPr>
          <w:rFonts w:ascii="Arial" w:hAnsi="Arial"/>
        </w:rPr>
        <w:t>Алматинск</w:t>
      </w:r>
      <w:r>
        <w:rPr>
          <w:rFonts w:ascii="Arial" w:hAnsi="Arial"/>
        </w:rPr>
        <w:t>ой</w:t>
      </w:r>
      <w:proofErr w:type="spellEnd"/>
      <w:r w:rsidRPr="00600090">
        <w:rPr>
          <w:rFonts w:ascii="Arial" w:hAnsi="Arial"/>
        </w:rPr>
        <w:t xml:space="preserve"> област</w:t>
      </w:r>
      <w:r>
        <w:rPr>
          <w:rFonts w:ascii="Arial" w:hAnsi="Arial"/>
        </w:rPr>
        <w:t>и</w:t>
      </w:r>
      <w:r w:rsidRPr="00600090">
        <w:rPr>
          <w:rFonts w:ascii="Arial" w:hAnsi="Arial"/>
        </w:rPr>
        <w:t xml:space="preserve"> и </w:t>
      </w:r>
      <w:r>
        <w:rPr>
          <w:rFonts w:ascii="Arial" w:hAnsi="Arial"/>
        </w:rPr>
        <w:t xml:space="preserve">в </w:t>
      </w:r>
      <w:proofErr w:type="spellStart"/>
      <w:r w:rsidRPr="00600090">
        <w:rPr>
          <w:rFonts w:ascii="Arial" w:hAnsi="Arial"/>
        </w:rPr>
        <w:t>Сарыагашск</w:t>
      </w:r>
      <w:r>
        <w:rPr>
          <w:rFonts w:ascii="Arial" w:hAnsi="Arial"/>
        </w:rPr>
        <w:t>ом</w:t>
      </w:r>
      <w:proofErr w:type="spellEnd"/>
      <w:r w:rsidRPr="00600090">
        <w:rPr>
          <w:rFonts w:ascii="Arial" w:hAnsi="Arial"/>
        </w:rPr>
        <w:t xml:space="preserve"> район</w:t>
      </w:r>
      <w:r>
        <w:rPr>
          <w:rFonts w:ascii="Arial" w:hAnsi="Arial"/>
        </w:rPr>
        <w:t>е</w:t>
      </w:r>
      <w:r w:rsidRPr="00600090">
        <w:rPr>
          <w:rFonts w:ascii="Arial" w:hAnsi="Arial"/>
        </w:rPr>
        <w:t xml:space="preserve"> Туркестанской области. Основными направлениями программы </w:t>
      </w:r>
      <w:r>
        <w:rPr>
          <w:rFonts w:ascii="Arial" w:hAnsi="Arial"/>
        </w:rPr>
        <w:t>являются</w:t>
      </w:r>
      <w:r w:rsidRPr="00600090">
        <w:rPr>
          <w:rFonts w:ascii="Arial" w:hAnsi="Arial"/>
        </w:rPr>
        <w:t xml:space="preserve">: а) устранение правовых барьеров для доступа </w:t>
      </w:r>
      <w:r>
        <w:rPr>
          <w:rFonts w:ascii="Arial" w:hAnsi="Arial"/>
        </w:rPr>
        <w:t>по</w:t>
      </w:r>
      <w:r w:rsidRPr="00600090">
        <w:rPr>
          <w:rFonts w:ascii="Arial" w:hAnsi="Arial"/>
        </w:rPr>
        <w:t xml:space="preserve"> уходу для </w:t>
      </w:r>
      <w:r w:rsidRPr="00600090">
        <w:rPr>
          <w:rFonts w:ascii="Arial" w:hAnsi="Arial"/>
        </w:rPr>
        <w:lastRenderedPageBreak/>
        <w:t>внутренних и внешних мигрантов; б) обеспечение профилактики туберкулеза и ухода за мигрантами; c) укрепление систем сообществ и повышение роли гражданского общества с акцентом на четыре ключевых компонента: управление, предоставление услуг, мониторинг и наблюдение, поддержка среды. Большая часть вышеупомянутых мероприятий будет продолжена</w:t>
      </w:r>
      <w:r>
        <w:rPr>
          <w:rFonts w:ascii="Arial" w:hAnsi="Arial"/>
        </w:rPr>
        <w:t xml:space="preserve"> из предыдущего гранта</w:t>
      </w:r>
      <w:r w:rsidRPr="00600090">
        <w:rPr>
          <w:rFonts w:ascii="Arial" w:hAnsi="Arial"/>
        </w:rPr>
        <w:t>, включая поддержку Регионального диалога трансграничного контроля по заключению двусторонних соглашений, создание благоприятных условий, создание доступа к диагностике и лечению туберкулеза для мигрантов и привлечение местных НПО к мероприятиям по борьбе с</w:t>
      </w:r>
      <w:r>
        <w:rPr>
          <w:rFonts w:ascii="Arial" w:hAnsi="Arial"/>
        </w:rPr>
        <w:t xml:space="preserve"> туберкулезом среди мигрантов.</w:t>
      </w:r>
    </w:p>
    <w:p w:rsidR="00600090" w:rsidRDefault="002F781E" w:rsidP="00DD7C44">
      <w:pPr>
        <w:spacing w:before="120" w:after="120" w:line="24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Pr="002F781E">
        <w:rPr>
          <w:rFonts w:ascii="Arial" w:hAnsi="Arial"/>
        </w:rPr>
        <w:t xml:space="preserve"> период 2018–2019 гг. </w:t>
      </w:r>
      <w:r>
        <w:rPr>
          <w:rFonts w:ascii="Arial" w:hAnsi="Arial"/>
        </w:rPr>
        <w:t>п</w:t>
      </w:r>
      <w:r w:rsidRPr="002F781E">
        <w:rPr>
          <w:rFonts w:ascii="Arial" w:hAnsi="Arial"/>
        </w:rPr>
        <w:t>ланируется охватить 97</w:t>
      </w:r>
      <w:r>
        <w:rPr>
          <w:rFonts w:ascii="Arial" w:hAnsi="Arial"/>
        </w:rPr>
        <w:t>,</w:t>
      </w:r>
      <w:r w:rsidRPr="002F781E">
        <w:rPr>
          <w:rFonts w:ascii="Arial" w:hAnsi="Arial"/>
        </w:rPr>
        <w:t>400 внешних мигрантов информационным</w:t>
      </w:r>
      <w:r>
        <w:rPr>
          <w:rFonts w:ascii="Arial" w:hAnsi="Arial"/>
        </w:rPr>
        <w:t>и</w:t>
      </w:r>
      <w:r w:rsidRPr="002F781E">
        <w:rPr>
          <w:rFonts w:ascii="Arial" w:hAnsi="Arial"/>
        </w:rPr>
        <w:t xml:space="preserve"> </w:t>
      </w:r>
      <w:r>
        <w:rPr>
          <w:rFonts w:ascii="Arial" w:hAnsi="Arial"/>
        </w:rPr>
        <w:t>материалами</w:t>
      </w:r>
      <w:r w:rsidRPr="002F781E">
        <w:rPr>
          <w:rFonts w:ascii="Arial" w:hAnsi="Arial"/>
        </w:rPr>
        <w:t xml:space="preserve"> по ТБ, </w:t>
      </w:r>
      <w:r>
        <w:rPr>
          <w:rFonts w:ascii="Arial" w:hAnsi="Arial"/>
        </w:rPr>
        <w:t>среди</w:t>
      </w:r>
      <w:r w:rsidRPr="002F781E">
        <w:rPr>
          <w:rFonts w:ascii="Arial" w:hAnsi="Arial"/>
        </w:rPr>
        <w:t xml:space="preserve"> них активно проводить скрининг и обследование на наличие</w:t>
      </w:r>
      <w:r>
        <w:rPr>
          <w:rFonts w:ascii="Arial" w:hAnsi="Arial"/>
        </w:rPr>
        <w:t xml:space="preserve"> ТБ у</w:t>
      </w:r>
      <w:r w:rsidRPr="002F781E">
        <w:rPr>
          <w:rFonts w:ascii="Arial" w:hAnsi="Arial"/>
        </w:rPr>
        <w:t xml:space="preserve"> 20</w:t>
      </w:r>
      <w:r>
        <w:rPr>
          <w:rFonts w:ascii="Arial" w:hAnsi="Arial"/>
        </w:rPr>
        <w:t>,</w:t>
      </w:r>
      <w:r w:rsidRPr="002F781E">
        <w:rPr>
          <w:rFonts w:ascii="Arial" w:hAnsi="Arial"/>
        </w:rPr>
        <w:t>083 внешних мигрантов и выявить среди них 360 случаев ТБ.</w:t>
      </w:r>
    </w:p>
    <w:p w:rsidR="002F781E" w:rsidRPr="00DD7C44" w:rsidRDefault="002F781E" w:rsidP="002F781E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Arial" w:eastAsia="SimSun" w:hAnsi="Arial"/>
          <w:b w:val="0"/>
          <w:lang w:eastAsia="zh-CN"/>
        </w:rPr>
      </w:pPr>
      <w:r w:rsidRPr="00DD7C44">
        <w:rPr>
          <w:rFonts w:ascii="Arial" w:eastAsia="SimSun" w:hAnsi="Arial"/>
          <w:i/>
          <w:lang w:val="en-US" w:eastAsia="zh-CN"/>
        </w:rPr>
        <w:t>TB</w:t>
      </w:r>
      <w:r w:rsidRPr="00DD7C44">
        <w:rPr>
          <w:rFonts w:ascii="Arial" w:eastAsia="SimSun" w:hAnsi="Arial"/>
          <w:i/>
          <w:lang w:eastAsia="zh-CN"/>
        </w:rPr>
        <w:t>-</w:t>
      </w:r>
      <w:r w:rsidRPr="00DD7C44">
        <w:rPr>
          <w:rFonts w:ascii="Arial" w:eastAsia="SimSun" w:hAnsi="Arial"/>
          <w:i/>
          <w:lang w:val="en-US" w:eastAsia="zh-CN"/>
        </w:rPr>
        <w:t>REP</w:t>
      </w:r>
      <w:r w:rsidRPr="00DD7C44">
        <w:rPr>
          <w:rFonts w:ascii="Arial" w:eastAsia="SimSun" w:hAnsi="Arial"/>
          <w:i/>
          <w:lang w:eastAsia="zh-CN"/>
        </w:rPr>
        <w:t xml:space="preserve"> 2.0:</w:t>
      </w:r>
      <w:r w:rsidRPr="00DD7C44">
        <w:rPr>
          <w:rFonts w:ascii="Arial" w:eastAsia="SimSun" w:hAnsi="Arial"/>
          <w:b w:val="0"/>
          <w:lang w:eastAsia="zh-CN"/>
        </w:rPr>
        <w:t xml:space="preserve"> Региональный проект Глобального фонда по борьбе с туберкулезом «Улучшение качества лечения туберкулеза, ориентированного на человека - от новой модели помощи на пути к своевременному выявлению и лечению больных ЛУ</w:t>
      </w:r>
      <w:r>
        <w:rPr>
          <w:rFonts w:ascii="Arial" w:eastAsia="SimSun" w:hAnsi="Arial"/>
          <w:b w:val="0"/>
          <w:lang w:eastAsia="zh-CN"/>
        </w:rPr>
        <w:t>-Т</w:t>
      </w:r>
      <w:r w:rsidRPr="00DD7C44">
        <w:rPr>
          <w:rFonts w:ascii="Arial" w:eastAsia="SimSun" w:hAnsi="Arial"/>
          <w:b w:val="0"/>
          <w:lang w:eastAsia="zh-CN"/>
        </w:rPr>
        <w:t xml:space="preserve">Б», реализованный Центром </w:t>
      </w:r>
      <w:r w:rsidRPr="002F781E">
        <w:rPr>
          <w:rFonts w:ascii="Arial" w:eastAsia="SimSun" w:hAnsi="Arial"/>
          <w:b w:val="0"/>
          <w:lang w:val="en-US" w:eastAsia="zh-CN"/>
        </w:rPr>
        <w:t>PAS</w:t>
      </w:r>
      <w:r w:rsidRPr="00DD7C44">
        <w:rPr>
          <w:rFonts w:ascii="Arial" w:eastAsia="SimSun" w:hAnsi="Arial"/>
          <w:b w:val="0"/>
          <w:lang w:eastAsia="zh-CN"/>
        </w:rPr>
        <w:t xml:space="preserve">, </w:t>
      </w:r>
      <w:r>
        <w:rPr>
          <w:rFonts w:ascii="Arial" w:eastAsia="SimSun" w:hAnsi="Arial"/>
          <w:b w:val="0"/>
          <w:lang w:eastAsia="zh-CN"/>
        </w:rPr>
        <w:t>в качестве ОР</w:t>
      </w:r>
      <w:r w:rsidRPr="00DD7C44">
        <w:rPr>
          <w:rFonts w:ascii="Arial" w:eastAsia="SimSun" w:hAnsi="Arial"/>
          <w:b w:val="0"/>
          <w:lang w:eastAsia="zh-CN"/>
        </w:rPr>
        <w:t xml:space="preserve"> будет поддерживать в 2019 -2021</w:t>
      </w:r>
      <w:r>
        <w:rPr>
          <w:rFonts w:ascii="Arial" w:eastAsia="SimSun" w:hAnsi="Arial"/>
          <w:b w:val="0"/>
          <w:lang w:eastAsia="zh-CN"/>
        </w:rPr>
        <w:t>гг.</w:t>
      </w:r>
      <w:r w:rsidRPr="00DD7C44">
        <w:rPr>
          <w:rFonts w:ascii="Arial" w:eastAsia="SimSun" w:hAnsi="Arial"/>
          <w:b w:val="0"/>
          <w:lang w:eastAsia="zh-CN"/>
        </w:rPr>
        <w:t xml:space="preserve"> НТП Казахстана в (</w:t>
      </w:r>
      <w:proofErr w:type="spellStart"/>
      <w:r w:rsidRPr="002F781E">
        <w:rPr>
          <w:rFonts w:ascii="Arial" w:eastAsia="SimSun" w:hAnsi="Arial"/>
          <w:b w:val="0"/>
          <w:lang w:val="en-US" w:eastAsia="zh-CN"/>
        </w:rPr>
        <w:t>i</w:t>
      </w:r>
      <w:proofErr w:type="spellEnd"/>
      <w:r w:rsidRPr="00DD7C44">
        <w:rPr>
          <w:rFonts w:ascii="Arial" w:eastAsia="SimSun" w:hAnsi="Arial"/>
          <w:b w:val="0"/>
          <w:lang w:eastAsia="zh-CN"/>
        </w:rPr>
        <w:t xml:space="preserve">) </w:t>
      </w:r>
      <w:r>
        <w:rPr>
          <w:rFonts w:ascii="Arial" w:eastAsia="SimSun" w:hAnsi="Arial"/>
          <w:b w:val="0"/>
          <w:lang w:eastAsia="zh-CN"/>
        </w:rPr>
        <w:t>вовлечении</w:t>
      </w:r>
      <w:r w:rsidRPr="00DD7C44">
        <w:rPr>
          <w:rFonts w:ascii="Arial" w:eastAsia="SimSun" w:hAnsi="Arial"/>
          <w:b w:val="0"/>
          <w:lang w:eastAsia="zh-CN"/>
        </w:rPr>
        <w:t xml:space="preserve"> </w:t>
      </w:r>
      <w:r>
        <w:rPr>
          <w:rFonts w:ascii="Arial" w:eastAsia="SimSun" w:hAnsi="Arial"/>
          <w:b w:val="0"/>
          <w:lang w:eastAsia="zh-CN"/>
        </w:rPr>
        <w:t xml:space="preserve">коммунитарных организаций </w:t>
      </w:r>
      <w:r w:rsidRPr="00DD7C44">
        <w:rPr>
          <w:rFonts w:ascii="Arial" w:eastAsia="SimSun" w:hAnsi="Arial"/>
          <w:b w:val="0"/>
          <w:lang w:eastAsia="zh-CN"/>
        </w:rPr>
        <w:t xml:space="preserve">в улучшении результатов </w:t>
      </w:r>
      <w:r>
        <w:rPr>
          <w:rFonts w:ascii="Arial" w:eastAsia="SimSun" w:hAnsi="Arial"/>
          <w:b w:val="0"/>
          <w:lang w:eastAsia="zh-CN"/>
        </w:rPr>
        <w:t xml:space="preserve">по </w:t>
      </w:r>
      <w:r w:rsidRPr="00DD7C44">
        <w:rPr>
          <w:rFonts w:ascii="Arial" w:eastAsia="SimSun" w:hAnsi="Arial"/>
          <w:b w:val="0"/>
          <w:lang w:eastAsia="zh-CN"/>
        </w:rPr>
        <w:t>профилактик</w:t>
      </w:r>
      <w:r>
        <w:rPr>
          <w:rFonts w:ascii="Arial" w:eastAsia="SimSun" w:hAnsi="Arial"/>
          <w:b w:val="0"/>
          <w:lang w:eastAsia="zh-CN"/>
        </w:rPr>
        <w:t>е</w:t>
      </w:r>
      <w:r w:rsidRPr="00DD7C44">
        <w:rPr>
          <w:rFonts w:ascii="Arial" w:eastAsia="SimSun" w:hAnsi="Arial"/>
          <w:b w:val="0"/>
          <w:lang w:eastAsia="zh-CN"/>
        </w:rPr>
        <w:t xml:space="preserve"> и лечени</w:t>
      </w:r>
      <w:r>
        <w:rPr>
          <w:rFonts w:ascii="Arial" w:eastAsia="SimSun" w:hAnsi="Arial"/>
          <w:b w:val="0"/>
          <w:lang w:eastAsia="zh-CN"/>
        </w:rPr>
        <w:t>ю</w:t>
      </w:r>
      <w:r w:rsidRPr="00DD7C44">
        <w:rPr>
          <w:rFonts w:ascii="Arial" w:eastAsia="SimSun" w:hAnsi="Arial"/>
          <w:b w:val="0"/>
          <w:lang w:eastAsia="zh-CN"/>
        </w:rPr>
        <w:t xml:space="preserve"> ТБ и (</w:t>
      </w:r>
      <w:r w:rsidRPr="002F781E">
        <w:rPr>
          <w:rFonts w:ascii="Arial" w:eastAsia="SimSun" w:hAnsi="Arial"/>
          <w:b w:val="0"/>
          <w:lang w:val="en-US" w:eastAsia="zh-CN"/>
        </w:rPr>
        <w:t>ii</w:t>
      </w:r>
      <w:r w:rsidRPr="00DD7C44">
        <w:rPr>
          <w:rFonts w:ascii="Arial" w:eastAsia="SimSun" w:hAnsi="Arial"/>
          <w:b w:val="0"/>
          <w:lang w:eastAsia="zh-CN"/>
        </w:rPr>
        <w:t>) укреплени</w:t>
      </w:r>
      <w:r>
        <w:rPr>
          <w:rFonts w:ascii="Arial" w:eastAsia="SimSun" w:hAnsi="Arial"/>
          <w:b w:val="0"/>
          <w:lang w:eastAsia="zh-CN"/>
        </w:rPr>
        <w:t>ю</w:t>
      </w:r>
      <w:r w:rsidRPr="00DD7C44">
        <w:rPr>
          <w:rFonts w:ascii="Arial" w:eastAsia="SimSun" w:hAnsi="Arial"/>
          <w:b w:val="0"/>
          <w:lang w:eastAsia="zh-CN"/>
        </w:rPr>
        <w:t xml:space="preserve"> ЖУССЗ, </w:t>
      </w:r>
      <w:r>
        <w:rPr>
          <w:rFonts w:ascii="Arial" w:eastAsia="SimSun" w:hAnsi="Arial"/>
          <w:b w:val="0"/>
          <w:lang w:eastAsia="zh-CN"/>
        </w:rPr>
        <w:t xml:space="preserve">для </w:t>
      </w:r>
      <w:r w:rsidRPr="002F781E">
        <w:rPr>
          <w:rFonts w:ascii="Arial" w:eastAsia="SimSun" w:hAnsi="Arial"/>
          <w:b w:val="0"/>
          <w:lang w:eastAsia="zh-CN"/>
        </w:rPr>
        <w:t>обеспече</w:t>
      </w:r>
      <w:r>
        <w:rPr>
          <w:rFonts w:ascii="Arial" w:eastAsia="SimSun" w:hAnsi="Arial"/>
          <w:b w:val="0"/>
          <w:lang w:eastAsia="zh-CN"/>
        </w:rPr>
        <w:t>ния</w:t>
      </w:r>
      <w:r w:rsidRPr="00DD7C44">
        <w:rPr>
          <w:rFonts w:ascii="Arial" w:eastAsia="SimSun" w:hAnsi="Arial"/>
          <w:b w:val="0"/>
          <w:lang w:eastAsia="zh-CN"/>
        </w:rPr>
        <w:t xml:space="preserve"> ориентированн</w:t>
      </w:r>
      <w:r>
        <w:rPr>
          <w:rFonts w:ascii="Arial" w:eastAsia="SimSun" w:hAnsi="Arial"/>
          <w:b w:val="0"/>
          <w:lang w:eastAsia="zh-CN"/>
        </w:rPr>
        <w:t xml:space="preserve">ой </w:t>
      </w:r>
      <w:r w:rsidRPr="00DD7C44">
        <w:rPr>
          <w:rFonts w:ascii="Arial" w:eastAsia="SimSun" w:hAnsi="Arial"/>
          <w:b w:val="0"/>
          <w:lang w:eastAsia="zh-CN"/>
        </w:rPr>
        <w:t xml:space="preserve">на людей оказание помощи и удовлетворение потребностей </w:t>
      </w:r>
      <w:r>
        <w:rPr>
          <w:rFonts w:ascii="Arial" w:eastAsia="SimSun" w:hAnsi="Arial"/>
          <w:b w:val="0"/>
          <w:lang w:eastAsia="zh-CN"/>
        </w:rPr>
        <w:t>уязвимых групп.</w:t>
      </w:r>
      <w:r w:rsidRPr="00DD7C44">
        <w:rPr>
          <w:rFonts w:ascii="Arial" w:eastAsia="SimSun" w:hAnsi="Arial"/>
          <w:b w:val="0"/>
          <w:lang w:eastAsia="zh-CN"/>
        </w:rPr>
        <w:t xml:space="preserve"> Запланированные мероприятия в рамках проекта </w:t>
      </w:r>
      <w:r w:rsidRPr="002F781E">
        <w:rPr>
          <w:rFonts w:ascii="Arial" w:eastAsia="SimSun" w:hAnsi="Arial"/>
          <w:b w:val="0"/>
          <w:lang w:val="en-US" w:eastAsia="zh-CN"/>
        </w:rPr>
        <w:t>TB</w:t>
      </w:r>
      <w:r w:rsidRPr="00DD7C44">
        <w:rPr>
          <w:rFonts w:ascii="Arial" w:eastAsia="SimSun" w:hAnsi="Arial"/>
          <w:b w:val="0"/>
          <w:lang w:eastAsia="zh-CN"/>
        </w:rPr>
        <w:t>-</w:t>
      </w:r>
      <w:r w:rsidRPr="002F781E">
        <w:rPr>
          <w:rFonts w:ascii="Arial" w:eastAsia="SimSun" w:hAnsi="Arial"/>
          <w:b w:val="0"/>
          <w:lang w:val="en-US" w:eastAsia="zh-CN"/>
        </w:rPr>
        <w:t>REP</w:t>
      </w:r>
      <w:r w:rsidRPr="00DD7C44">
        <w:rPr>
          <w:rFonts w:ascii="Arial" w:eastAsia="SimSun" w:hAnsi="Arial"/>
          <w:b w:val="0"/>
          <w:lang w:eastAsia="zh-CN"/>
        </w:rPr>
        <w:t xml:space="preserve"> 2.0 были обсуждены </w:t>
      </w:r>
      <w:r>
        <w:rPr>
          <w:rFonts w:ascii="Arial" w:eastAsia="SimSun" w:hAnsi="Arial"/>
          <w:b w:val="0"/>
          <w:lang w:eastAsia="zh-CN"/>
        </w:rPr>
        <w:t>с НТП</w:t>
      </w:r>
      <w:r w:rsidRPr="00DD7C44">
        <w:rPr>
          <w:rFonts w:ascii="Arial" w:eastAsia="SimSun" w:hAnsi="Arial"/>
          <w:b w:val="0"/>
          <w:lang w:eastAsia="zh-CN"/>
        </w:rPr>
        <w:t xml:space="preserve"> и ГРП ГФ, </w:t>
      </w:r>
      <w:r>
        <w:rPr>
          <w:rFonts w:ascii="Arial" w:eastAsia="SimSun" w:hAnsi="Arial"/>
          <w:b w:val="0"/>
          <w:lang w:eastAsia="zh-CN"/>
        </w:rPr>
        <w:t>с целью</w:t>
      </w:r>
      <w:r w:rsidRPr="00DD7C44">
        <w:rPr>
          <w:rFonts w:ascii="Arial" w:eastAsia="SimSun" w:hAnsi="Arial"/>
          <w:b w:val="0"/>
          <w:lang w:eastAsia="zh-CN"/>
        </w:rPr>
        <w:t xml:space="preserve"> </w:t>
      </w:r>
      <w:r w:rsidRPr="002F781E">
        <w:rPr>
          <w:rFonts w:ascii="Arial" w:eastAsia="SimSun" w:hAnsi="Arial"/>
          <w:b w:val="0"/>
          <w:lang w:eastAsia="zh-CN"/>
        </w:rPr>
        <w:t>избежа</w:t>
      </w:r>
      <w:r>
        <w:rPr>
          <w:rFonts w:ascii="Arial" w:eastAsia="SimSun" w:hAnsi="Arial"/>
          <w:b w:val="0"/>
          <w:lang w:eastAsia="zh-CN"/>
        </w:rPr>
        <w:t>ние</w:t>
      </w:r>
      <w:r w:rsidRPr="00DD7C44">
        <w:rPr>
          <w:rFonts w:ascii="Arial" w:eastAsia="SimSun" w:hAnsi="Arial"/>
          <w:b w:val="0"/>
          <w:lang w:eastAsia="zh-CN"/>
        </w:rPr>
        <w:t xml:space="preserve"> дублирования действий и обеспечить координацию в реализации вмешательств (например, мероприятие 1.1.4 выше).</w:t>
      </w:r>
    </w:p>
    <w:p w:rsidR="003F2160" w:rsidRPr="00B34458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 w:rsidRPr="0019276E">
        <w:rPr>
          <w:rFonts w:ascii="Arial" w:hAnsi="Arial"/>
        </w:rPr>
        <w:t xml:space="preserve">Согласно данным НПТ, </w:t>
      </w:r>
      <w:r w:rsidRPr="00B34458">
        <w:rPr>
          <w:rFonts w:ascii="Arial" w:hAnsi="Arial"/>
        </w:rPr>
        <w:t>представленным в ВОЗ, за последние годы (2013-2017 гг.) большая часть финансирования [более 90%] была получена из государственных источников, то есть из правительственного и регионального бюджетов. Поддержка из источников финансирования доноров составляет менее 5% с небольшими колебаниями в различные годы.</w:t>
      </w:r>
    </w:p>
    <w:p w:rsidR="003F2160" w:rsidRPr="00695164" w:rsidRDefault="003F2160" w:rsidP="003F2160">
      <w:pPr>
        <w:spacing w:before="120" w:after="120" w:line="240" w:lineRule="auto"/>
        <w:jc w:val="both"/>
        <w:rPr>
          <w:rFonts w:ascii="Arial" w:hAnsi="Arial"/>
          <w:b/>
          <w:highlight w:val="green"/>
        </w:rPr>
      </w:pPr>
      <w:r>
        <w:rPr>
          <w:rFonts w:ascii="Arial" w:hAnsi="Arial"/>
        </w:rPr>
        <w:t>Заполненная т</w:t>
      </w:r>
      <w:r w:rsidRPr="008322E4">
        <w:rPr>
          <w:rFonts w:ascii="Arial" w:hAnsi="Arial"/>
        </w:rPr>
        <w:t xml:space="preserve">аблица </w:t>
      </w:r>
      <w:r>
        <w:rPr>
          <w:rFonts w:ascii="Arial" w:hAnsi="Arial"/>
        </w:rPr>
        <w:t xml:space="preserve">«Источники </w:t>
      </w:r>
      <w:r w:rsidRPr="008322E4">
        <w:rPr>
          <w:rFonts w:ascii="Arial" w:hAnsi="Arial"/>
        </w:rPr>
        <w:t>финансирования</w:t>
      </w:r>
      <w:r>
        <w:rPr>
          <w:rFonts w:ascii="Arial" w:hAnsi="Arial"/>
        </w:rPr>
        <w:t>»</w:t>
      </w:r>
      <w:r w:rsidRPr="008322E4">
        <w:rPr>
          <w:rFonts w:ascii="Arial" w:hAnsi="Arial"/>
        </w:rPr>
        <w:t xml:space="preserve"> прилагается к </w:t>
      </w:r>
      <w:r>
        <w:rPr>
          <w:rFonts w:ascii="Arial" w:hAnsi="Arial"/>
        </w:rPr>
        <w:t>данной заявке</w:t>
      </w:r>
      <w:r w:rsidRPr="008322E4">
        <w:rPr>
          <w:rFonts w:ascii="Arial" w:hAnsi="Arial"/>
        </w:rPr>
        <w:t>.</w:t>
      </w:r>
      <w:r>
        <w:rPr>
          <w:rFonts w:ascii="Arial" w:hAnsi="Arial"/>
        </w:rPr>
        <w:t xml:space="preserve"> Данное </w:t>
      </w:r>
      <w:r w:rsidRPr="00BB72E4">
        <w:rPr>
          <w:rFonts w:ascii="Arial" w:hAnsi="Arial"/>
        </w:rPr>
        <w:t>предложение было разработано в соответствии с требованиями Глобального фонда</w:t>
      </w:r>
      <w:r>
        <w:rPr>
          <w:rFonts w:ascii="Arial" w:hAnsi="Arial"/>
        </w:rPr>
        <w:t xml:space="preserve"> к совместному финансированию</w:t>
      </w:r>
      <w:r w:rsidRPr="00BB72E4">
        <w:rPr>
          <w:rFonts w:ascii="Arial" w:hAnsi="Arial"/>
        </w:rPr>
        <w:t xml:space="preserve">, которые </w:t>
      </w:r>
      <w:r w:rsidRPr="00EE7BBA">
        <w:rPr>
          <w:rFonts w:ascii="Arial" w:hAnsi="Arial"/>
        </w:rPr>
        <w:t xml:space="preserve">изложены в Политике ГФ в отношении устойчивости, перехода и совместного финансирования. </w:t>
      </w:r>
      <w:r>
        <w:rPr>
          <w:rFonts w:ascii="Arial" w:hAnsi="Arial"/>
        </w:rPr>
        <w:t xml:space="preserve">Предполагаемые </w:t>
      </w:r>
      <w:r w:rsidRPr="00D83285">
        <w:rPr>
          <w:rFonts w:ascii="Arial" w:hAnsi="Arial"/>
        </w:rPr>
        <w:t xml:space="preserve">обязательства по </w:t>
      </w:r>
      <w:r w:rsidRPr="00EE7BBA">
        <w:rPr>
          <w:rFonts w:ascii="Arial" w:hAnsi="Arial"/>
        </w:rPr>
        <w:t>совместно</w:t>
      </w:r>
      <w:r>
        <w:rPr>
          <w:rFonts w:ascii="Arial" w:hAnsi="Arial"/>
        </w:rPr>
        <w:t xml:space="preserve">му </w:t>
      </w:r>
      <w:r w:rsidRPr="00EE7BBA">
        <w:rPr>
          <w:rFonts w:ascii="Arial" w:hAnsi="Arial"/>
        </w:rPr>
        <w:t>финансировани</w:t>
      </w:r>
      <w:r>
        <w:rPr>
          <w:rFonts w:ascii="Arial" w:hAnsi="Arial"/>
        </w:rPr>
        <w:t>ю</w:t>
      </w:r>
      <w:r w:rsidRPr="00D83285">
        <w:rPr>
          <w:rFonts w:ascii="Arial" w:hAnsi="Arial"/>
        </w:rPr>
        <w:t xml:space="preserve"> на 2020-2022 годы соответствуют минимальным требованиям </w:t>
      </w:r>
      <w:r>
        <w:rPr>
          <w:rFonts w:ascii="Arial" w:hAnsi="Arial"/>
        </w:rPr>
        <w:t xml:space="preserve">по обеспечению </w:t>
      </w:r>
      <w:r w:rsidRPr="00D83285">
        <w:rPr>
          <w:rFonts w:ascii="Arial" w:hAnsi="Arial"/>
        </w:rPr>
        <w:t>полного доступа к со</w:t>
      </w:r>
      <w:r>
        <w:rPr>
          <w:rFonts w:ascii="Arial" w:hAnsi="Arial"/>
        </w:rPr>
        <w:t xml:space="preserve">вместному </w:t>
      </w:r>
      <w:r w:rsidRPr="00D83285">
        <w:rPr>
          <w:rFonts w:ascii="Arial" w:hAnsi="Arial"/>
        </w:rPr>
        <w:t>финансировани</w:t>
      </w:r>
      <w:r>
        <w:rPr>
          <w:rFonts w:ascii="Arial" w:hAnsi="Arial"/>
        </w:rPr>
        <w:t>ю, которые приведены</w:t>
      </w:r>
      <w:r w:rsidRPr="00D83285">
        <w:rPr>
          <w:rFonts w:ascii="Arial" w:hAnsi="Arial"/>
        </w:rPr>
        <w:t xml:space="preserve"> в вышеуказанной Политике.</w:t>
      </w:r>
    </w:p>
    <w:p w:rsidR="003F2160" w:rsidRPr="00EC1643" w:rsidRDefault="003F2160" w:rsidP="003F2160">
      <w:pPr>
        <w:spacing w:before="120" w:after="120" w:line="240" w:lineRule="auto"/>
        <w:jc w:val="both"/>
        <w:rPr>
          <w:rFonts w:ascii="Arial" w:hAnsi="Arial"/>
          <w:b/>
          <w:highlight w:val="green"/>
        </w:rPr>
      </w:pPr>
      <w:r w:rsidRPr="00D83285">
        <w:rPr>
          <w:rFonts w:ascii="Arial" w:hAnsi="Arial"/>
        </w:rPr>
        <w:t xml:space="preserve">Информация, использованная для заполнения </w:t>
      </w:r>
      <w:r>
        <w:rPr>
          <w:rFonts w:ascii="Arial" w:hAnsi="Arial"/>
        </w:rPr>
        <w:t xml:space="preserve">указанной выше </w:t>
      </w:r>
      <w:r w:rsidRPr="00D83285">
        <w:rPr>
          <w:rFonts w:ascii="Arial" w:hAnsi="Arial"/>
        </w:rPr>
        <w:t xml:space="preserve">таблицы, была получена </w:t>
      </w:r>
      <w:r>
        <w:rPr>
          <w:rFonts w:ascii="Arial" w:hAnsi="Arial"/>
        </w:rPr>
        <w:t>у</w:t>
      </w:r>
      <w:r w:rsidRPr="00D83285">
        <w:rPr>
          <w:rFonts w:ascii="Arial" w:hAnsi="Arial"/>
        </w:rPr>
        <w:t xml:space="preserve"> М</w:t>
      </w:r>
      <w:r>
        <w:rPr>
          <w:rFonts w:ascii="Arial" w:hAnsi="Arial"/>
        </w:rPr>
        <w:t>инистерства финансов</w:t>
      </w:r>
      <w:r w:rsidRPr="00D83285">
        <w:rPr>
          <w:rFonts w:ascii="Arial" w:hAnsi="Arial"/>
        </w:rPr>
        <w:t>, М</w:t>
      </w:r>
      <w:r>
        <w:rPr>
          <w:rFonts w:ascii="Arial" w:hAnsi="Arial"/>
        </w:rPr>
        <w:t>инистерства здравоохранения</w:t>
      </w:r>
      <w:r w:rsidRPr="00D83285">
        <w:rPr>
          <w:rFonts w:ascii="Arial" w:hAnsi="Arial"/>
        </w:rPr>
        <w:t xml:space="preserve">, </w:t>
      </w:r>
      <w:r w:rsidR="002312E3">
        <w:rPr>
          <w:rFonts w:ascii="Arial" w:hAnsi="Arial"/>
        </w:rPr>
        <w:t>Региональных противотуберкулезных диспансеров</w:t>
      </w:r>
      <w:r w:rsidRPr="00D83285">
        <w:rPr>
          <w:rFonts w:ascii="Arial" w:hAnsi="Arial"/>
        </w:rPr>
        <w:t xml:space="preserve">- </w:t>
      </w:r>
      <w:r>
        <w:rPr>
          <w:rFonts w:ascii="Arial" w:hAnsi="Arial"/>
        </w:rPr>
        <w:t>касательно</w:t>
      </w:r>
      <w:r w:rsidRPr="00D83285">
        <w:rPr>
          <w:rFonts w:ascii="Arial" w:hAnsi="Arial"/>
        </w:rPr>
        <w:t xml:space="preserve"> внутренних источников</w:t>
      </w:r>
      <w:r>
        <w:rPr>
          <w:rFonts w:ascii="Arial" w:hAnsi="Arial"/>
        </w:rPr>
        <w:t xml:space="preserve">, у Основных реципиентов в отношении </w:t>
      </w:r>
      <w:r w:rsidRPr="00D83285">
        <w:rPr>
          <w:rFonts w:ascii="Arial" w:hAnsi="Arial"/>
        </w:rPr>
        <w:t xml:space="preserve">поддержки </w:t>
      </w:r>
      <w:r>
        <w:rPr>
          <w:rFonts w:ascii="Arial" w:hAnsi="Arial"/>
        </w:rPr>
        <w:t xml:space="preserve">ГФ </w:t>
      </w:r>
      <w:r w:rsidRPr="00D83285">
        <w:rPr>
          <w:rFonts w:ascii="Arial" w:hAnsi="Arial"/>
        </w:rPr>
        <w:t xml:space="preserve">(ресурсы, выделенные в предыдущий период реализации </w:t>
      </w:r>
      <w:r>
        <w:rPr>
          <w:rFonts w:ascii="Arial" w:hAnsi="Arial"/>
        </w:rPr>
        <w:t xml:space="preserve">проекта, а также планируемые </w:t>
      </w:r>
      <w:r w:rsidRPr="00D83285">
        <w:rPr>
          <w:rFonts w:ascii="Arial" w:hAnsi="Arial"/>
        </w:rPr>
        <w:t xml:space="preserve">выплаты); </w:t>
      </w:r>
      <w:r>
        <w:rPr>
          <w:rFonts w:ascii="Arial" w:hAnsi="Arial"/>
        </w:rPr>
        <w:t xml:space="preserve">а также у </w:t>
      </w:r>
      <w:r w:rsidRPr="00D83285">
        <w:rPr>
          <w:rFonts w:ascii="Arial" w:hAnsi="Arial"/>
        </w:rPr>
        <w:t>страновы</w:t>
      </w:r>
      <w:r>
        <w:rPr>
          <w:rFonts w:ascii="Arial" w:hAnsi="Arial"/>
        </w:rPr>
        <w:t>х</w:t>
      </w:r>
      <w:r w:rsidRPr="00D83285">
        <w:rPr>
          <w:rFonts w:ascii="Arial" w:hAnsi="Arial"/>
        </w:rPr>
        <w:t xml:space="preserve"> отделени</w:t>
      </w:r>
      <w:r>
        <w:rPr>
          <w:rFonts w:ascii="Arial" w:hAnsi="Arial"/>
        </w:rPr>
        <w:t>й</w:t>
      </w:r>
      <w:r w:rsidRPr="00D83285">
        <w:rPr>
          <w:rFonts w:ascii="Arial" w:hAnsi="Arial"/>
        </w:rPr>
        <w:t xml:space="preserve"> или организаци</w:t>
      </w:r>
      <w:r>
        <w:rPr>
          <w:rFonts w:ascii="Arial" w:hAnsi="Arial"/>
        </w:rPr>
        <w:t>й</w:t>
      </w:r>
      <w:r w:rsidRPr="00D83285">
        <w:rPr>
          <w:rFonts w:ascii="Arial" w:hAnsi="Arial"/>
        </w:rPr>
        <w:t>-исполнител</w:t>
      </w:r>
      <w:r>
        <w:rPr>
          <w:rFonts w:ascii="Arial" w:hAnsi="Arial"/>
        </w:rPr>
        <w:t>ей</w:t>
      </w:r>
      <w:r w:rsidRPr="00D83285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D832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отношении остальных </w:t>
      </w:r>
      <w:r w:rsidRPr="00D83285">
        <w:rPr>
          <w:rFonts w:ascii="Arial" w:hAnsi="Arial"/>
        </w:rPr>
        <w:t xml:space="preserve">внешних </w:t>
      </w:r>
      <w:r w:rsidR="002312E3">
        <w:rPr>
          <w:rFonts w:ascii="Arial" w:hAnsi="Arial"/>
        </w:rPr>
        <w:t>доноров</w:t>
      </w:r>
      <w:r w:rsidRPr="00D83285">
        <w:rPr>
          <w:rFonts w:ascii="Arial" w:hAnsi="Arial"/>
        </w:rPr>
        <w:t xml:space="preserve"> (предыдущих, текущих и ожидаемых).</w:t>
      </w:r>
      <w:r>
        <w:rPr>
          <w:rFonts w:ascii="Arial" w:hAnsi="Arial"/>
        </w:rPr>
        <w:t xml:space="preserve"> </w:t>
      </w:r>
      <w:r w:rsidRPr="00D83285">
        <w:rPr>
          <w:rFonts w:ascii="Arial" w:hAnsi="Arial"/>
        </w:rPr>
        <w:t xml:space="preserve">Расчеты финансовых потребностей </w:t>
      </w:r>
      <w:r>
        <w:rPr>
          <w:rFonts w:ascii="Arial" w:hAnsi="Arial"/>
        </w:rPr>
        <w:t>Н</w:t>
      </w:r>
      <w:r w:rsidRPr="00D83285">
        <w:rPr>
          <w:rFonts w:ascii="Arial" w:hAnsi="Arial"/>
        </w:rPr>
        <w:t>ациональн</w:t>
      </w:r>
      <w:r>
        <w:rPr>
          <w:rFonts w:ascii="Arial" w:hAnsi="Arial"/>
        </w:rPr>
        <w:t xml:space="preserve">ой программы борьбы с ТБ </w:t>
      </w:r>
      <w:r w:rsidRPr="00D83285">
        <w:rPr>
          <w:rFonts w:ascii="Arial" w:hAnsi="Arial"/>
        </w:rPr>
        <w:t xml:space="preserve">основаны на текущем уровне расходов с учетом необходимости </w:t>
      </w:r>
      <w:r>
        <w:rPr>
          <w:rFonts w:ascii="Arial" w:hAnsi="Arial"/>
        </w:rPr>
        <w:t xml:space="preserve">в </w:t>
      </w:r>
      <w:r w:rsidRPr="00D83285">
        <w:rPr>
          <w:rFonts w:ascii="Arial" w:hAnsi="Arial"/>
        </w:rPr>
        <w:t>расширени</w:t>
      </w:r>
      <w:r>
        <w:rPr>
          <w:rFonts w:ascii="Arial" w:hAnsi="Arial"/>
        </w:rPr>
        <w:t>и объема основных услуг.</w:t>
      </w:r>
    </w:p>
    <w:p w:rsidR="003F2160" w:rsidRPr="00CB6AC5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 w:rsidRPr="00CB6AC5">
        <w:rPr>
          <w:rFonts w:ascii="Arial" w:hAnsi="Arial"/>
        </w:rPr>
        <w:t xml:space="preserve">Казахстан находится в процессе изменения основной системы финансирования и охвата сектора здравоохранения путем внедрения Системы обязательного социального медицинского страхования (ОСМС), которая начнет функционировать в 2019 году. В результате данной реформы будет создана система единого плательщика за медицинские услуги в масштабе всей страны, будет усилен принцип солидарности в защите от финансовых рисков, обеспечен всеобщий охват основными медико-санитарными услугами в рамках четко определенного пакета, а также повысится эффективность за счет оптимизации системы оказания медицинской помощи. Помимо реформирования системы </w:t>
      </w:r>
      <w:r w:rsidRPr="00CB6AC5">
        <w:rPr>
          <w:rFonts w:ascii="Arial" w:hAnsi="Arial"/>
        </w:rPr>
        <w:lastRenderedPageBreak/>
        <w:t>финансирования в области здравоохранения, Министерство здравоохранения продолжает осуществление приоритетных видов деятельности, направленных на продвижение ориентированных на пациента подходов, обеспечение предоставления услуг надлежащего качества на всех уровнях и содействие внедрению современных технологий и инновационных решений в области здравоохранения.</w:t>
      </w:r>
    </w:p>
    <w:p w:rsidR="000A0840" w:rsidRDefault="000A0840">
      <w:pPr>
        <w:rPr>
          <w:rFonts w:ascii="Arial" w:hAnsi="Arial"/>
          <w:b/>
        </w:rPr>
      </w:pPr>
    </w:p>
    <w:tbl>
      <w:tblPr>
        <w:tblW w:w="878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3F2160" w:rsidRPr="009B17F0" w:rsidTr="00DC3DD1">
        <w:trPr>
          <w:trHeight w:val="420"/>
          <w:jc w:val="center"/>
        </w:trPr>
        <w:tc>
          <w:tcPr>
            <w:tcW w:w="8789" w:type="dxa"/>
            <w:shd w:val="clear" w:color="auto" w:fill="C6D9F1" w:themeFill="text2" w:themeFillTint="33"/>
          </w:tcPr>
          <w:p w:rsidR="003F2160" w:rsidRPr="009B17F0" w:rsidRDefault="003F2160" w:rsidP="00DC3DD1">
            <w:pPr>
              <w:keepNext/>
              <w:keepLines/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B17F0">
              <w:rPr>
                <w:rFonts w:ascii="Arial" w:hAnsi="Arial"/>
                <w:b/>
                <w:sz w:val="20"/>
                <w:szCs w:val="20"/>
              </w:rPr>
              <w:t>4.2 Устойчивость</w:t>
            </w:r>
          </w:p>
        </w:tc>
      </w:tr>
      <w:tr w:rsidR="003F2160" w:rsidRPr="00693908" w:rsidTr="00DC3DD1">
        <w:trPr>
          <w:trHeight w:val="480"/>
          <w:jc w:val="center"/>
        </w:trPr>
        <w:tc>
          <w:tcPr>
            <w:tcW w:w="8789" w:type="dxa"/>
            <w:shd w:val="clear" w:color="auto" w:fill="F2F2F2"/>
            <w:vAlign w:val="center"/>
          </w:tcPr>
          <w:p w:rsidR="003F2160" w:rsidRPr="00C53B9C" w:rsidRDefault="003F2160" w:rsidP="00DC3DD1">
            <w:pPr>
              <w:spacing w:before="120" w:after="120" w:line="240" w:lineRule="auto"/>
              <w:jc w:val="both"/>
              <w:rPr>
                <w:rFonts w:ascii="Arial" w:eastAsia="SimSun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Опишите ниже, каким образом правительство будет увеличивать расходы для реализации программ в области здравоохранения и принимать меры по повышению устойчивости финансируемых Глобальным фондом программ. В частности,</w:t>
            </w:r>
          </w:p>
          <w:p w:rsidR="003F2160" w:rsidRPr="00631BA6" w:rsidRDefault="003F2160" w:rsidP="00631BA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631BA6">
              <w:rPr>
                <w:rFonts w:ascii="Arial" w:hAnsi="Arial"/>
                <w:b w:val="0"/>
                <w:sz w:val="20"/>
                <w:szCs w:val="20"/>
              </w:rPr>
              <w:t>Поясните ситуацию с расходами, наличием средств и недостатком финансирования для основных программных областей. Укажите, в частности, каким образом правительство будет увеличивать расходы для реализации национальных планов борьбы с заболеваниями и/или поддерживать системы здравоохранения, включая увеличение объема инвестиций в программы для основных затронутых и уязвимых групп населения, устранения препятствий, касающихся прав человека и гендерных вопросов, и проведения мероприятий по созданию благоприятной среды.</w:t>
            </w:r>
          </w:p>
          <w:p w:rsidR="003F2160" w:rsidRPr="00631BA6" w:rsidRDefault="003F2160" w:rsidP="00631BA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631BA6">
              <w:rPr>
                <w:rFonts w:ascii="Arial" w:hAnsi="Arial"/>
                <w:b w:val="0"/>
                <w:sz w:val="20"/>
                <w:szCs w:val="20"/>
              </w:rPr>
              <w:t xml:space="preserve">Опишите меры по повышению устойчивости финансируемых Глобальным фондом программ. Например, </w:t>
            </w:r>
            <w:r w:rsidRPr="00AA0737">
              <w:rPr>
                <w:rFonts w:ascii="Arial" w:hAnsi="Arial"/>
                <w:b w:val="0"/>
                <w:sz w:val="20"/>
                <w:szCs w:val="20"/>
              </w:rPr>
              <w:t>укажите</w:t>
            </w:r>
            <w:r w:rsidRPr="00631BA6">
              <w:rPr>
                <w:rFonts w:ascii="Arial" w:hAnsi="Arial"/>
                <w:b w:val="0"/>
                <w:sz w:val="20"/>
                <w:szCs w:val="20"/>
              </w:rPr>
              <w:t xml:space="preserve"> основные связанные с устойчивостью программ проблемы, охваченные запросом на финансирование, и любые осуществляемые и/или запланированные меры для их устранения.</w:t>
            </w:r>
          </w:p>
        </w:tc>
      </w:tr>
    </w:tbl>
    <w:p w:rsidR="003F2160" w:rsidRPr="00693908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Правительство Казахстана обязуется поддерживать финансовую устойчивость приоритетных мероприятий в области общественного здравоохранения, поскольку она является ключом к обеспечению непрерывности воздействия. За последнее десятилетие Правительство значительно увеличило размер финансирования, выделяемого для сектора здравоохранения, включая меры по борьбе с ТБ, в то время как финансовая помощь внешних партнеров в этой области значительно сократилась за </w:t>
      </w:r>
      <w:r w:rsidR="000A0840">
        <w:rPr>
          <w:rFonts w:ascii="Arial" w:hAnsi="Arial"/>
        </w:rPr>
        <w:t>указанный</w:t>
      </w:r>
      <w:r>
        <w:rPr>
          <w:rFonts w:ascii="Arial" w:hAnsi="Arial"/>
        </w:rPr>
        <w:t xml:space="preserve"> период.</w:t>
      </w:r>
    </w:p>
    <w:p w:rsidR="003F2160" w:rsidRPr="00693908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настоящее время Правительство за счет центрального и регионального (областной) государственного бюджетов покрывает большую часть расходов, связанных с борьбой с ТБ, включая (i) закупку противотуберкулезных препаратов (препаратов </w:t>
      </w:r>
      <w:r w:rsidR="00AA0737">
        <w:rPr>
          <w:rFonts w:ascii="Arial" w:hAnsi="Arial"/>
        </w:rPr>
        <w:t>первого и второго ряда</w:t>
      </w:r>
      <w:r>
        <w:rPr>
          <w:rFonts w:ascii="Arial" w:hAnsi="Arial"/>
        </w:rPr>
        <w:t>), проведение бактериологических и клинических лабораторных исследований, закупку лекарств для лечения побочных эффектов, вызванных противотуберкулезными препаратами; (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>) затраты на персонал; (</w:t>
      </w: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 xml:space="preserve">) стоимость </w:t>
      </w:r>
      <w:r w:rsidR="00194728">
        <w:rPr>
          <w:rFonts w:ascii="Arial" w:hAnsi="Arial"/>
        </w:rPr>
        <w:t>инфраструктуры</w:t>
      </w:r>
      <w:r>
        <w:rPr>
          <w:rFonts w:ascii="Arial" w:hAnsi="Arial"/>
        </w:rPr>
        <w:t>; и (</w:t>
      </w:r>
      <w:proofErr w:type="spellStart"/>
      <w:r>
        <w:rPr>
          <w:rFonts w:ascii="Arial" w:hAnsi="Arial"/>
        </w:rPr>
        <w:t>iv</w:t>
      </w:r>
      <w:proofErr w:type="spellEnd"/>
      <w:r>
        <w:rPr>
          <w:rFonts w:ascii="Arial" w:hAnsi="Arial"/>
        </w:rPr>
        <w:t xml:space="preserve">) управление программой, обучение, надзор и другие операционные расходы, связанные с национальной программой борьбы с ТБ. Следует отметить, что в настоящее время Правительство осуществляет закупку картриджей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и новых лекарств через Глобальный механизм по обеспечению лекарственными средствами.</w:t>
      </w:r>
    </w:p>
    <w:p w:rsidR="003F2160" w:rsidRPr="00693908" w:rsidRDefault="003F2160" w:rsidP="003F2160">
      <w:pPr>
        <w:spacing w:before="120" w:after="12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Региональные органы власти в возрастающей степени оказывают поддержку больным ТБ в соблюдении режима лечения (в виде материального поощрения); эта практика применяется во всех регионах страны. В 2013 году средства, выделенные на поддержку пациентов, составляли 1,1% от консолидированного бюджета программы борьбы с ТБ; в 2014 году эта доля увеличилась до 1,5%, в 2015 году она составила 2,0%, в 2016 году - 2,9%, в 2017 году - 3,5% и за 6 месяцев 2018 года - 4,5%. За первое полугодие 2018 года региональные органы власти выплатили 771,7 млн. тенге (около 2,36 млн. долларов США) на поддержку пациентов, что на 35,8% больше по сравнению с аналогичным периодом прошлого года.</w:t>
      </w:r>
    </w:p>
    <w:p w:rsidR="003F2160" w:rsidRPr="00693908" w:rsidRDefault="003F2160" w:rsidP="003F2160">
      <w:pPr>
        <w:spacing w:before="120" w:after="120" w:line="240" w:lineRule="auto"/>
        <w:jc w:val="both"/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В настоящее время Глобальный фонд является основным (а в большинстве областей единственным) внешним источником поддержки в борьбе с ТБ в стране. Ресурсы ГФ используются для внедрения новых технологий диагностики ТБ, таких как </w:t>
      </w:r>
      <w:proofErr w:type="spellStart"/>
      <w:r>
        <w:rPr>
          <w:rFonts w:ascii="Arial" w:hAnsi="Arial"/>
        </w:rPr>
        <w:t>Xpert</w:t>
      </w:r>
      <w:proofErr w:type="spellEnd"/>
      <w:r>
        <w:rPr>
          <w:rFonts w:ascii="Arial" w:hAnsi="Arial"/>
        </w:rPr>
        <w:t xml:space="preserve"> MTB/RIF, а также для покрытия мероприятий, финансирование которых за счет внутренних ресурсов (таких как поддержка программы выделения небольших грантов для НПО и другие </w:t>
      </w:r>
      <w:r>
        <w:rPr>
          <w:rFonts w:ascii="Arial" w:hAnsi="Arial"/>
        </w:rPr>
        <w:lastRenderedPageBreak/>
        <w:t>мероприятия по вовлечению гражданского общества) в настоящее время является затруднительным из-за действующих правил составления бюджета. В то же самое время, план перехода (прилагается к данной Форме заявки) предусматривает дальнейшие шаги для принятия Правительством мер, которые в настоящее время поддерживаются за счет ГФ, включая увеличение инвестиций в программы для ключевых и уязвимых групп населения, например, путем заключения социальных контрактов. Тем не менее, СКК и Министерство здравоохранения признают, что государственное финансирование указанных выше мероприятий представляет собой ключевую задачу на трехлетний период предстоящего проекта ГФ (2020-2022 гг.), поэтому было принято решение обеспечить соответствующее финансирование в новом проекте на условиях постепенного перехода обязательств по финансированию.</w:t>
      </w:r>
    </w:p>
    <w:tbl>
      <w:tblPr>
        <w:tblW w:w="8789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3F2160" w:rsidRPr="00810EB4" w:rsidTr="00DC3DD1">
        <w:trPr>
          <w:trHeight w:val="420"/>
        </w:trPr>
        <w:tc>
          <w:tcPr>
            <w:tcW w:w="8789" w:type="dxa"/>
            <w:shd w:val="clear" w:color="auto" w:fill="C6D9F1"/>
          </w:tcPr>
          <w:p w:rsidR="003F2160" w:rsidRPr="00810EB4" w:rsidRDefault="003F2160" w:rsidP="00DC3DD1">
            <w:pPr>
              <w:keepNext/>
              <w:keepLines/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10EB4"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proofErr w:type="spellStart"/>
            <w:r w:rsidRPr="00810EB4">
              <w:rPr>
                <w:rFonts w:ascii="Arial" w:hAnsi="Arial"/>
                <w:b/>
                <w:sz w:val="20"/>
                <w:szCs w:val="20"/>
              </w:rPr>
              <w:t>Приоритезированный</w:t>
            </w:r>
            <w:proofErr w:type="spellEnd"/>
            <w:r w:rsidRPr="00810EB4">
              <w:rPr>
                <w:rFonts w:ascii="Arial" w:hAnsi="Arial"/>
                <w:b/>
                <w:sz w:val="20"/>
                <w:szCs w:val="20"/>
              </w:rPr>
              <w:t xml:space="preserve"> запрос на финансирование сверх выделенной суммы</w:t>
            </w:r>
          </w:p>
        </w:tc>
      </w:tr>
      <w:tr w:rsidR="003F2160" w:rsidRPr="00693908" w:rsidTr="00DC3DD1">
        <w:trPr>
          <w:trHeight w:val="420"/>
        </w:trPr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F2160" w:rsidRPr="00693908" w:rsidRDefault="003F2160" w:rsidP="00DC3DD1">
            <w:pPr>
              <w:keepNext/>
              <w:keepLines/>
              <w:tabs>
                <w:tab w:val="left" w:pos="8100"/>
              </w:tabs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Чтобы подать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приоритезированный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запрос на финансирование сверх выделенной суммы, пожалуйста, заполните прилагаемую форму в формате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Excel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B34458" w:rsidRPr="006A6E2B" w:rsidRDefault="00B34458" w:rsidP="003F2160">
      <w:pPr>
        <w:spacing w:before="120" w:after="120" w:line="240" w:lineRule="auto"/>
        <w:jc w:val="both"/>
        <w:rPr>
          <w:rFonts w:ascii="Arial" w:hAnsi="Arial"/>
        </w:rPr>
      </w:pPr>
    </w:p>
    <w:p w:rsidR="003F2160" w:rsidRPr="00B34458" w:rsidRDefault="00B34458" w:rsidP="00BF46AA">
      <w:pPr>
        <w:spacing w:before="120" w:after="120" w:line="240" w:lineRule="auto"/>
        <w:ind w:firstLine="708"/>
        <w:jc w:val="both"/>
        <w:rPr>
          <w:rFonts w:ascii="Arial" w:hAnsi="Arial"/>
          <w:highlight w:val="yellow"/>
          <w:lang w:val="en-GB"/>
        </w:rPr>
      </w:pPr>
      <w:r w:rsidRPr="00B34458">
        <w:rPr>
          <w:rFonts w:ascii="Arial" w:hAnsi="Arial"/>
          <w:lang w:val="en-GB"/>
        </w:rPr>
        <w:t>N/A</w:t>
      </w:r>
    </w:p>
    <w:p w:rsidR="00B34458" w:rsidRDefault="00B34458" w:rsidP="00810EB4">
      <w:pPr>
        <w:spacing w:before="120" w:after="120" w:line="240" w:lineRule="auto"/>
        <w:jc w:val="center"/>
        <w:rPr>
          <w:rFonts w:ascii="Arial" w:hAnsi="Arial"/>
          <w:lang w:val="en-GB"/>
        </w:rPr>
      </w:pPr>
    </w:p>
    <w:p w:rsidR="00B34458" w:rsidRDefault="00B34458" w:rsidP="00810EB4">
      <w:pPr>
        <w:spacing w:before="120" w:after="120" w:line="240" w:lineRule="auto"/>
        <w:jc w:val="center"/>
        <w:rPr>
          <w:rFonts w:ascii="Arial" w:hAnsi="Arial"/>
          <w:lang w:val="en-GB"/>
        </w:rPr>
      </w:pPr>
    </w:p>
    <w:p w:rsidR="003F2160" w:rsidRPr="00810EB4" w:rsidRDefault="00810EB4" w:rsidP="00810EB4">
      <w:pPr>
        <w:spacing w:before="120" w:after="120" w:line="240" w:lineRule="auto"/>
        <w:jc w:val="center"/>
        <w:rPr>
          <w:rFonts w:ascii="Arial" w:hAnsi="Arial"/>
          <w:b/>
        </w:rPr>
      </w:pPr>
      <w:r w:rsidRPr="00991EB5">
        <w:rPr>
          <w:rFonts w:ascii="Arial" w:hAnsi="Arial"/>
          <w:lang w:val="en-GB"/>
        </w:rPr>
        <w:t>*</w:t>
      </w:r>
      <w:r w:rsidRPr="00991EB5">
        <w:rPr>
          <w:rFonts w:ascii="Arial" w:hAnsi="Arial"/>
          <w:lang w:val="en-GB"/>
        </w:rPr>
        <w:tab/>
      </w:r>
      <w:r w:rsidRPr="00991EB5">
        <w:rPr>
          <w:rFonts w:ascii="Arial" w:hAnsi="Arial"/>
          <w:lang w:val="en-GB"/>
        </w:rPr>
        <w:tab/>
        <w:t>*</w:t>
      </w:r>
      <w:r w:rsidRPr="00991EB5">
        <w:rPr>
          <w:rFonts w:ascii="Arial" w:hAnsi="Arial"/>
          <w:lang w:val="en-GB"/>
        </w:rPr>
        <w:tab/>
      </w:r>
      <w:r w:rsidRPr="00991EB5">
        <w:rPr>
          <w:rFonts w:ascii="Arial" w:hAnsi="Arial"/>
          <w:lang w:val="en-GB"/>
        </w:rPr>
        <w:tab/>
        <w:t>*</w:t>
      </w:r>
    </w:p>
    <w:sectPr w:rsidR="003F2160" w:rsidRPr="008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C0" w:rsidRDefault="00EB30C0" w:rsidP="009E61EB">
      <w:pPr>
        <w:spacing w:after="0" w:line="240" w:lineRule="auto"/>
      </w:pPr>
      <w:r>
        <w:separator/>
      </w:r>
    </w:p>
  </w:endnote>
  <w:endnote w:type="continuationSeparator" w:id="0">
    <w:p w:rsidR="00EB30C0" w:rsidRDefault="00EB30C0" w:rsidP="009E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9D" w:rsidRDefault="00FB6C9D" w:rsidP="00DC3DD1">
    <w:pPr>
      <w:pStyle w:val="Footer"/>
      <w:tabs>
        <w:tab w:val="clear" w:pos="4513"/>
        <w:tab w:val="clear" w:pos="9026"/>
        <w:tab w:val="left" w:pos="5565"/>
      </w:tabs>
      <w:ind w:left="-142"/>
      <w:rPr>
        <w:rFonts w:ascii="Arial" w:hAnsi="Arial"/>
        <w:b w:val="0"/>
        <w:sz w:val="18"/>
        <w:szCs w:val="18"/>
      </w:rPr>
    </w:pPr>
    <w:r>
      <w:rPr>
        <w:rFonts w:ascii="Arial" w:hAnsi="Arial"/>
        <w:b w:val="0"/>
        <w:sz w:val="18"/>
        <w:szCs w:val="18"/>
      </w:rPr>
      <w:tab/>
    </w:r>
  </w:p>
  <w:p w:rsidR="00FB6C9D" w:rsidRPr="00AA0737" w:rsidRDefault="00FB6C9D" w:rsidP="00DC3DD1">
    <w:pPr>
      <w:pStyle w:val="Footer"/>
      <w:tabs>
        <w:tab w:val="clear" w:pos="9026"/>
        <w:tab w:val="right" w:pos="8931"/>
      </w:tabs>
      <w:ind w:left="-142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Запрос на финансирование: С учетом существенных изменений – ТБ КАЗАХСТАН</w:t>
    </w:r>
  </w:p>
  <w:p w:rsidR="00FB6C9D" w:rsidRPr="004A037E" w:rsidRDefault="00FB6C9D" w:rsidP="00DC3DD1">
    <w:pPr>
      <w:pStyle w:val="Footer"/>
      <w:tabs>
        <w:tab w:val="clear" w:pos="9026"/>
        <w:tab w:val="right" w:pos="8931"/>
      </w:tabs>
      <w:ind w:left="-142"/>
      <w:rPr>
        <w:rFonts w:ascii="Arial" w:hAnsi="Arial"/>
        <w:b w:val="0"/>
        <w:sz w:val="20"/>
        <w:szCs w:val="20"/>
      </w:rPr>
    </w:pPr>
    <w:r w:rsidRPr="00AA0737">
      <w:rPr>
        <w:rFonts w:ascii="Arial" w:hAnsi="Arial"/>
        <w:b w:val="0"/>
        <w:sz w:val="20"/>
        <w:szCs w:val="20"/>
      </w:rPr>
      <w:tab/>
    </w:r>
    <w:r>
      <w:rPr>
        <w:rFonts w:ascii="Arial" w:hAnsi="Arial"/>
        <w:b w:val="0"/>
        <w:sz w:val="20"/>
        <w:szCs w:val="20"/>
      </w:rPr>
      <w:tab/>
    </w:r>
    <w:r w:rsidR="002F781E">
      <w:rPr>
        <w:rFonts w:ascii="Arial" w:hAnsi="Arial"/>
        <w:b w:val="0"/>
        <w:sz w:val="20"/>
        <w:szCs w:val="20"/>
      </w:rPr>
      <w:t xml:space="preserve">Январь 2019 </w:t>
    </w:r>
    <w:r>
      <w:rPr>
        <w:rFonts w:ascii="Arial" w:hAnsi="Arial"/>
        <w:b w:val="0"/>
        <w:sz w:val="20"/>
        <w:szCs w:val="20"/>
      </w:rPr>
      <w:t xml:space="preserve">г.│ </w:t>
    </w:r>
    <w:r w:rsidRPr="004A037E">
      <w:rPr>
        <w:rFonts w:ascii="Arial" w:hAnsi="Arial"/>
        <w:sz w:val="20"/>
        <w:szCs w:val="20"/>
      </w:rPr>
      <w:fldChar w:fldCharType="begin"/>
    </w:r>
    <w:r w:rsidRPr="004A037E">
      <w:rPr>
        <w:rFonts w:ascii="Arial" w:hAnsi="Arial"/>
        <w:sz w:val="20"/>
        <w:szCs w:val="20"/>
      </w:rPr>
      <w:instrText xml:space="preserve"> PAGE   \* MERGEFORMAT </w:instrText>
    </w:r>
    <w:r w:rsidRPr="004A037E">
      <w:rPr>
        <w:rFonts w:ascii="Arial" w:hAnsi="Arial"/>
        <w:sz w:val="20"/>
        <w:szCs w:val="20"/>
      </w:rPr>
      <w:fldChar w:fldCharType="separate"/>
    </w:r>
    <w:r w:rsidR="00D17C7C">
      <w:rPr>
        <w:rFonts w:ascii="Arial" w:hAnsi="Arial"/>
        <w:noProof/>
        <w:sz w:val="20"/>
        <w:szCs w:val="20"/>
      </w:rPr>
      <w:t>36</w:t>
    </w:r>
    <w:r w:rsidRPr="004A037E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C0" w:rsidRDefault="00EB30C0" w:rsidP="009E61EB">
      <w:pPr>
        <w:spacing w:after="0" w:line="240" w:lineRule="auto"/>
      </w:pPr>
      <w:r>
        <w:separator/>
      </w:r>
    </w:p>
  </w:footnote>
  <w:footnote w:type="continuationSeparator" w:id="0">
    <w:p w:rsidR="00EB30C0" w:rsidRDefault="00EB30C0" w:rsidP="009E61EB">
      <w:pPr>
        <w:spacing w:after="0" w:line="240" w:lineRule="auto"/>
      </w:pPr>
      <w:r>
        <w:continuationSeparator/>
      </w:r>
    </w:p>
  </w:footnote>
  <w:footnote w:id="1">
    <w:p w:rsidR="00FB6C9D" w:rsidRPr="000D4A2D" w:rsidRDefault="00FB6C9D" w:rsidP="009E61E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Мы предлагаем сравнить новую выделенную сумму финансирования с текущими ежегодными расходами, расходами за предыдущий период и/или прогнозируемыми расходами, например, используя сумму расходов за прошлый год, умноженную на 3.</w:t>
      </w:r>
    </w:p>
  </w:footnote>
  <w:footnote w:id="2">
    <w:p w:rsidR="00FB6C9D" w:rsidRPr="00975191" w:rsidRDefault="00FB6C9D" w:rsidP="009E61EB">
      <w:pPr>
        <w:pStyle w:val="FootnoteText"/>
        <w:rPr>
          <w:rFonts w:cs="Arial"/>
          <w:sz w:val="18"/>
          <w:szCs w:val="18"/>
        </w:rPr>
      </w:pPr>
      <w:r>
        <w:rPr>
          <w:rStyle w:val="FootnoteReference"/>
          <w:rFonts w:cs="Aria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Источник</w:t>
      </w:r>
      <w:r>
        <w:rPr>
          <w:sz w:val="18"/>
          <w:szCs w:val="18"/>
        </w:rPr>
        <w:t xml:space="preserve">: </w:t>
      </w:r>
      <w:r>
        <w:t>Министерство национальной экономики Республики Казахстан, Комитет по статистике</w:t>
      </w:r>
      <w:r>
        <w:rPr>
          <w:sz w:val="18"/>
          <w:szCs w:val="18"/>
        </w:rPr>
        <w:t xml:space="preserve">, </w:t>
      </w:r>
      <w:hyperlink r:id="rId1" w:history="1">
        <w:r>
          <w:rPr>
            <w:rStyle w:val="Hyperlink"/>
            <w:sz w:val="18"/>
            <w:szCs w:val="18"/>
          </w:rPr>
          <w:t>http://stat.gov.kz</w:t>
        </w:r>
      </w:hyperlink>
    </w:p>
  </w:footnote>
  <w:footnote w:id="3">
    <w:p w:rsidR="00FB6C9D" w:rsidRPr="00975191" w:rsidRDefault="00FB6C9D" w:rsidP="009E61EB">
      <w:pPr>
        <w:pStyle w:val="FootnoteText"/>
        <w:rPr>
          <w:rFonts w:cs="Arial"/>
          <w:sz w:val="18"/>
          <w:szCs w:val="18"/>
        </w:rPr>
      </w:pPr>
      <w:r>
        <w:rPr>
          <w:rStyle w:val="FootnoteReference"/>
          <w:rFonts w:cs="Aria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Источник</w:t>
      </w:r>
      <w:r>
        <w:rPr>
          <w:sz w:val="18"/>
          <w:szCs w:val="18"/>
        </w:rPr>
        <w:t xml:space="preserve">: Всемирный банк, </w:t>
      </w:r>
      <w:hyperlink r:id="rId2" w:history="1">
        <w:r>
          <w:rPr>
            <w:rStyle w:val="Hyperlink"/>
            <w:sz w:val="18"/>
            <w:szCs w:val="18"/>
          </w:rPr>
          <w:t>http://data.worldbank.org/country/kazakhstan</w:t>
        </w:r>
      </w:hyperlink>
      <w:r>
        <w:rPr>
          <w:sz w:val="18"/>
          <w:szCs w:val="18"/>
        </w:rPr>
        <w:t>; метод Атласа, в долларах США по текущему курсу</w:t>
      </w:r>
    </w:p>
  </w:footnote>
  <w:footnote w:id="4">
    <w:p w:rsidR="00FB6C9D" w:rsidRDefault="00FB6C9D" w:rsidP="009E61EB">
      <w:pPr>
        <w:pStyle w:val="FootnoteText"/>
        <w:rPr>
          <w:rFonts w:cs="Arial"/>
          <w:sz w:val="18"/>
          <w:szCs w:val="18"/>
        </w:rPr>
      </w:pPr>
      <w:r>
        <w:rPr>
          <w:rStyle w:val="FootnoteReference"/>
          <w:rFonts w:cs="Arial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Источник</w:t>
      </w:r>
      <w:r>
        <w:rPr>
          <w:sz w:val="18"/>
          <w:szCs w:val="18"/>
        </w:rPr>
        <w:t xml:space="preserve">: </w:t>
      </w:r>
      <w:r>
        <w:t>Глобальный отчет ВОЗ по туберкулезу</w:t>
      </w:r>
      <w:r>
        <w:rPr>
          <w:sz w:val="18"/>
          <w:szCs w:val="18"/>
        </w:rPr>
        <w:t xml:space="preserve"> за 2018 года, </w:t>
      </w:r>
      <w:hyperlink r:id="rId3" w:history="1">
        <w:r>
          <w:rPr>
            <w:rStyle w:val="Hyperlink"/>
            <w:sz w:val="18"/>
            <w:szCs w:val="18"/>
          </w:rPr>
          <w:t>http://www.who.int/tb/publications/global_report/en/</w:t>
        </w:r>
      </w:hyperlink>
      <w:r>
        <w:rPr>
          <w:sz w:val="18"/>
          <w:szCs w:val="18"/>
        </w:rPr>
        <w:t xml:space="preserve"> </w:t>
      </w:r>
    </w:p>
    <w:p w:rsidR="00FB6C9D" w:rsidRPr="00975191" w:rsidRDefault="00FB6C9D" w:rsidP="009E61EB">
      <w:pPr>
        <w:pStyle w:val="FootnoteText"/>
        <w:rPr>
          <w:rFonts w:cs="Arial"/>
          <w:sz w:val="18"/>
          <w:szCs w:val="18"/>
        </w:rPr>
      </w:pPr>
    </w:p>
  </w:footnote>
  <w:footnote w:id="5">
    <w:p w:rsidR="00FB6C9D" w:rsidRPr="00AE569F" w:rsidRDefault="00FB6C9D" w:rsidP="00AE569F">
      <w:pPr>
        <w:pStyle w:val="FootnoteText"/>
        <w:jc w:val="both"/>
        <w:rPr>
          <w:sz w:val="18"/>
          <w:szCs w:val="18"/>
        </w:rPr>
      </w:pPr>
      <w:r w:rsidRPr="00D17C7C">
        <w:rPr>
          <w:rStyle w:val="FootnoteReference"/>
          <w:sz w:val="18"/>
          <w:szCs w:val="18"/>
        </w:rPr>
        <w:footnoteRef/>
      </w:r>
      <w:r w:rsidRPr="00D17C7C">
        <w:rPr>
          <w:sz w:val="18"/>
          <w:szCs w:val="18"/>
        </w:rPr>
        <w:t xml:space="preserve"> Меры по улучшению диагностики туберкулеза у детей включают расширение использования </w:t>
      </w:r>
      <w:proofErr w:type="spellStart"/>
      <w:r w:rsidRPr="00D17C7C">
        <w:rPr>
          <w:sz w:val="18"/>
          <w:szCs w:val="18"/>
        </w:rPr>
        <w:t>Xpert</w:t>
      </w:r>
      <w:proofErr w:type="spellEnd"/>
      <w:r w:rsidRPr="00D17C7C">
        <w:rPr>
          <w:sz w:val="18"/>
          <w:szCs w:val="18"/>
        </w:rPr>
        <w:t xml:space="preserve"> MTB / RIF у детей, исследование методом культуры промывных вод бронхов и желудка, расширение использования компьютерной томографии для диагностики аномалий лимфатических узлов грудной клетки, </w:t>
      </w:r>
      <w:r w:rsidR="008E5A28">
        <w:rPr>
          <w:sz w:val="18"/>
          <w:szCs w:val="18"/>
        </w:rPr>
        <w:t>пилотирование использования</w:t>
      </w:r>
      <w:r w:rsidR="008E5A28" w:rsidRPr="00D17C7C">
        <w:rPr>
          <w:sz w:val="18"/>
          <w:szCs w:val="18"/>
        </w:rPr>
        <w:t xml:space="preserve"> </w:t>
      </w:r>
      <w:r w:rsidR="008E5A28">
        <w:rPr>
          <w:sz w:val="18"/>
          <w:szCs w:val="18"/>
          <w:lang w:val="en-US"/>
        </w:rPr>
        <w:t>T</w:t>
      </w:r>
      <w:r w:rsidR="008E5A28" w:rsidRPr="00D17C7C">
        <w:rPr>
          <w:sz w:val="18"/>
          <w:szCs w:val="18"/>
        </w:rPr>
        <w:t>-</w:t>
      </w:r>
      <w:r w:rsidR="008E5A28">
        <w:rPr>
          <w:sz w:val="18"/>
          <w:szCs w:val="18"/>
          <w:lang w:val="en-US"/>
        </w:rPr>
        <w:t>Spot</w:t>
      </w:r>
      <w:r w:rsidR="008E5A28" w:rsidRPr="00D17C7C">
        <w:rPr>
          <w:sz w:val="18"/>
          <w:szCs w:val="18"/>
        </w:rPr>
        <w:t xml:space="preserve"> </w:t>
      </w:r>
      <w:r w:rsidR="008E5A28">
        <w:rPr>
          <w:sz w:val="18"/>
          <w:szCs w:val="18"/>
        </w:rPr>
        <w:t xml:space="preserve">исследования, </w:t>
      </w:r>
      <w:r w:rsidRPr="00D17C7C">
        <w:rPr>
          <w:sz w:val="18"/>
          <w:szCs w:val="18"/>
        </w:rPr>
        <w:t>а также укрепление потенциала медицинского персонала.</w:t>
      </w:r>
    </w:p>
  </w:footnote>
  <w:footnote w:id="6">
    <w:p w:rsidR="00FB6C9D" w:rsidRPr="00346766" w:rsidRDefault="00FB6C9D" w:rsidP="00AE569F">
      <w:pPr>
        <w:pStyle w:val="FootnoteText"/>
        <w:jc w:val="both"/>
      </w:pPr>
      <w:r w:rsidRPr="00AE569F">
        <w:rPr>
          <w:rStyle w:val="FootnoteReference"/>
          <w:sz w:val="18"/>
          <w:szCs w:val="18"/>
        </w:rPr>
        <w:footnoteRef/>
      </w:r>
      <w:r w:rsidRPr="00AE569F">
        <w:rPr>
          <w:sz w:val="18"/>
          <w:szCs w:val="18"/>
        </w:rPr>
        <w:t xml:space="preserve"> </w:t>
      </w:r>
      <w:r w:rsidRPr="00AE569F">
        <w:rPr>
          <w:i/>
          <w:sz w:val="18"/>
          <w:szCs w:val="18"/>
        </w:rPr>
        <w:t>Эпидемиологический анализ и анализ последствий туберкулеза в Казахстане, 2017,</w:t>
      </w:r>
      <w:r w:rsidRPr="00AE569F">
        <w:rPr>
          <w:sz w:val="18"/>
          <w:szCs w:val="18"/>
        </w:rPr>
        <w:t xml:space="preserve"> Региональное европейское бюро ВОЗ, 2018 год</w:t>
      </w:r>
    </w:p>
  </w:footnote>
  <w:footnote w:id="7">
    <w:p w:rsidR="00FB6C9D" w:rsidRPr="007E1858" w:rsidRDefault="00FB6C9D" w:rsidP="009E61EB">
      <w:pPr>
        <w:pStyle w:val="FootnoteText"/>
      </w:pPr>
      <w:r>
        <w:rPr>
          <w:rStyle w:val="FootnoteReference"/>
        </w:rPr>
        <w:footnoteRef/>
      </w:r>
      <w:r>
        <w:t xml:space="preserve"> Объединенная программа ООН по ВИЧ/СПИДу, </w:t>
      </w:r>
      <w:hyperlink r:id="rId4" w:history="1">
        <w:r>
          <w:rPr>
            <w:rStyle w:val="Hyperlink"/>
          </w:rPr>
          <w:t>http://www.unaids.org/en/regionscountries/countries/kazakhstan</w:t>
        </w:r>
      </w:hyperlink>
      <w:r>
        <w:t xml:space="preserve"> </w:t>
      </w:r>
    </w:p>
  </w:footnote>
  <w:footnote w:id="8">
    <w:p w:rsidR="00FB6C9D" w:rsidRPr="000D4A2D" w:rsidRDefault="00FB6C9D" w:rsidP="003F2160">
      <w:pPr>
        <w:pStyle w:val="FootnoteText"/>
        <w:rPr>
          <w:rFonts w:cs="Arial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См. </w:t>
      </w:r>
      <w:hyperlink r:id="rId5" w:history="1">
        <w:r>
          <w:rPr>
            <w:rStyle w:val="Hyperlink"/>
            <w:sz w:val="16"/>
            <w:szCs w:val="16"/>
          </w:rPr>
          <w:t>Список критериев Глобального фонда на 2017 год</w:t>
        </w:r>
      </w:hyperlink>
      <w:r>
        <w:rPr>
          <w:rStyle w:val="Hyperlink"/>
          <w:sz w:val="16"/>
          <w:szCs w:val="16"/>
        </w:rPr>
        <w:t xml:space="preserve"> </w:t>
      </w:r>
      <w:r>
        <w:rPr>
          <w:sz w:val="16"/>
          <w:szCs w:val="16"/>
        </w:rPr>
        <w:t>по уровню дохода</w:t>
      </w:r>
      <w:r>
        <w:rPr>
          <w:rStyle w:val="Hyperlink"/>
          <w:sz w:val="16"/>
          <w:szCs w:val="16"/>
        </w:rPr>
        <w:t xml:space="preserve">. </w:t>
      </w:r>
      <w:r>
        <w:t xml:space="preserve">Для стран с низким и средним уровнем дохода </w:t>
      </w:r>
      <w:r>
        <w:rPr>
          <w:sz w:val="16"/>
          <w:szCs w:val="16"/>
        </w:rPr>
        <w:t xml:space="preserve">приняты особые требования в отношении фокуса заявок, которые установлены в </w:t>
      </w:r>
      <w:hyperlink r:id="rId6" w:history="1">
        <w:r>
          <w:rPr>
            <w:rStyle w:val="Hyperlink"/>
            <w:sz w:val="16"/>
            <w:szCs w:val="16"/>
          </w:rPr>
          <w:t>Политике Глобального фонда по устойчивости, переходу и совместному финансированию</w:t>
        </w:r>
      </w:hyperlink>
      <w:r>
        <w:rPr>
          <w:sz w:val="16"/>
          <w:szCs w:val="16"/>
        </w:rPr>
        <w:t>.</w:t>
      </w:r>
    </w:p>
  </w:footnote>
  <w:footnote w:id="9">
    <w:p w:rsidR="00FB6C9D" w:rsidRPr="003B54BE" w:rsidRDefault="00FB6C9D" w:rsidP="003F2160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Государственная программа «Цифровой Казахстан»,</w:t>
      </w:r>
      <w:r>
        <w:rPr>
          <w:sz w:val="18"/>
          <w:szCs w:val="18"/>
        </w:rPr>
        <w:t xml:space="preserve"> утвержденная Постановлением Правительства РК № 827 от 12 декабря 2017 года</w:t>
      </w:r>
    </w:p>
  </w:footnote>
  <w:footnote w:id="10">
    <w:p w:rsidR="00FB6C9D" w:rsidRPr="00D17C7C" w:rsidRDefault="00FB6C9D" w:rsidP="003F2160">
      <w:pPr>
        <w:pStyle w:val="FootnoteText"/>
        <w:rPr>
          <w:sz w:val="18"/>
          <w:szCs w:val="18"/>
        </w:rPr>
      </w:pPr>
      <w:r w:rsidRPr="00D17C7C">
        <w:rPr>
          <w:rStyle w:val="FootnoteReference"/>
          <w:sz w:val="18"/>
          <w:szCs w:val="18"/>
        </w:rPr>
        <w:footnoteRef/>
      </w:r>
      <w:r w:rsidRPr="00D17C7C">
        <w:rPr>
          <w:sz w:val="18"/>
          <w:szCs w:val="18"/>
        </w:rPr>
        <w:t xml:space="preserve"> См. </w:t>
      </w:r>
      <w:hyperlink r:id="rId7" w:history="1">
        <w:r w:rsidRPr="00D17C7C">
          <w:rPr>
            <w:rStyle w:val="Hyperlink"/>
            <w:sz w:val="18"/>
            <w:szCs w:val="18"/>
          </w:rPr>
          <w:t>Политику в отношении устойчивости, перехода и совместного финансирования</w:t>
        </w:r>
      </w:hyperlink>
    </w:p>
  </w:footnote>
  <w:footnote w:id="11">
    <w:p w:rsidR="00FB6C9D" w:rsidRPr="00D17C7C" w:rsidRDefault="00FB6C9D">
      <w:pPr>
        <w:pStyle w:val="FootnoteText"/>
        <w:rPr>
          <w:sz w:val="18"/>
          <w:szCs w:val="18"/>
        </w:rPr>
      </w:pPr>
      <w:r w:rsidRPr="00D17C7C">
        <w:rPr>
          <w:rStyle w:val="FootnoteReference"/>
          <w:sz w:val="18"/>
          <w:szCs w:val="18"/>
        </w:rPr>
        <w:footnoteRef/>
      </w:r>
      <w:r w:rsidRPr="00D17C7C">
        <w:rPr>
          <w:sz w:val="18"/>
          <w:szCs w:val="18"/>
        </w:rPr>
        <w:t xml:space="preserve"> Источник: </w:t>
      </w:r>
      <w:r w:rsidRPr="00D17C7C">
        <w:rPr>
          <w:sz w:val="18"/>
          <w:szCs w:val="18"/>
          <w:lang w:val="en-US"/>
        </w:rPr>
        <w:t>Health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for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All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Explorer</w:t>
      </w:r>
      <w:r w:rsidRPr="00D17C7C">
        <w:rPr>
          <w:sz w:val="18"/>
          <w:szCs w:val="18"/>
        </w:rPr>
        <w:t xml:space="preserve">, </w:t>
      </w:r>
      <w:r w:rsidRPr="00D17C7C">
        <w:rPr>
          <w:sz w:val="18"/>
          <w:szCs w:val="18"/>
          <w:lang w:val="en-US"/>
        </w:rPr>
        <w:t>WHO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Regional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Office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for</w:t>
      </w:r>
      <w:r w:rsidRPr="00D17C7C">
        <w:rPr>
          <w:sz w:val="18"/>
          <w:szCs w:val="18"/>
        </w:rPr>
        <w:t xml:space="preserve"> </w:t>
      </w:r>
      <w:r w:rsidRPr="00D17C7C">
        <w:rPr>
          <w:sz w:val="18"/>
          <w:szCs w:val="18"/>
          <w:lang w:val="en-US"/>
        </w:rPr>
        <w:t>Europe</w:t>
      </w:r>
      <w:r w:rsidRPr="00D17C7C">
        <w:rPr>
          <w:sz w:val="18"/>
          <w:szCs w:val="18"/>
        </w:rPr>
        <w:t xml:space="preserve">, </w:t>
      </w:r>
      <w:hyperlink r:id="rId8" w:history="1">
        <w:r w:rsidRPr="00D17C7C">
          <w:rPr>
            <w:rStyle w:val="Hyperlink"/>
            <w:sz w:val="18"/>
            <w:szCs w:val="18"/>
            <w:lang w:val="en-US"/>
          </w:rPr>
          <w:t>https</w:t>
        </w:r>
        <w:r w:rsidRPr="00D17C7C">
          <w:rPr>
            <w:rStyle w:val="Hyperlink"/>
            <w:sz w:val="18"/>
            <w:szCs w:val="18"/>
          </w:rPr>
          <w:t>://</w:t>
        </w:r>
        <w:r w:rsidRPr="00D17C7C">
          <w:rPr>
            <w:rStyle w:val="Hyperlink"/>
            <w:sz w:val="18"/>
            <w:szCs w:val="18"/>
            <w:lang w:val="en-US"/>
          </w:rPr>
          <w:t>gateway</w:t>
        </w:r>
        <w:r w:rsidRPr="00D17C7C">
          <w:rPr>
            <w:rStyle w:val="Hyperlink"/>
            <w:sz w:val="18"/>
            <w:szCs w:val="18"/>
          </w:rPr>
          <w:t>.</w:t>
        </w:r>
        <w:r w:rsidRPr="00D17C7C">
          <w:rPr>
            <w:rStyle w:val="Hyperlink"/>
            <w:sz w:val="18"/>
            <w:szCs w:val="18"/>
            <w:lang w:val="en-US"/>
          </w:rPr>
          <w:t>euro</w:t>
        </w:r>
        <w:r w:rsidRPr="00D17C7C">
          <w:rPr>
            <w:rStyle w:val="Hyperlink"/>
            <w:sz w:val="18"/>
            <w:szCs w:val="18"/>
          </w:rPr>
          <w:t>.</w:t>
        </w:r>
        <w:r w:rsidRPr="00D17C7C">
          <w:rPr>
            <w:rStyle w:val="Hyperlink"/>
            <w:sz w:val="18"/>
            <w:szCs w:val="18"/>
            <w:lang w:val="en-US"/>
          </w:rPr>
          <w:t>who</w:t>
        </w:r>
        <w:r w:rsidRPr="00D17C7C">
          <w:rPr>
            <w:rStyle w:val="Hyperlink"/>
            <w:sz w:val="18"/>
            <w:szCs w:val="18"/>
          </w:rPr>
          <w:t>.</w:t>
        </w:r>
        <w:proofErr w:type="spellStart"/>
        <w:r w:rsidRPr="00D17C7C">
          <w:rPr>
            <w:rStyle w:val="Hyperlink"/>
            <w:sz w:val="18"/>
            <w:szCs w:val="18"/>
            <w:lang w:val="en-US"/>
          </w:rPr>
          <w:t>int</w:t>
        </w:r>
        <w:proofErr w:type="spellEnd"/>
        <w:r w:rsidRPr="00D17C7C">
          <w:rPr>
            <w:rStyle w:val="Hyperlink"/>
            <w:sz w:val="18"/>
            <w:szCs w:val="18"/>
          </w:rPr>
          <w:t>/</w:t>
        </w:r>
        <w:r w:rsidRPr="00D17C7C">
          <w:rPr>
            <w:rStyle w:val="Hyperlink"/>
            <w:sz w:val="18"/>
            <w:szCs w:val="18"/>
            <w:lang w:val="en-US"/>
          </w:rPr>
          <w:t>en</w:t>
        </w:r>
        <w:r w:rsidRPr="00D17C7C">
          <w:rPr>
            <w:rStyle w:val="Hyperlink"/>
            <w:sz w:val="18"/>
            <w:szCs w:val="18"/>
          </w:rPr>
          <w:t>/</w:t>
        </w:r>
        <w:proofErr w:type="spellStart"/>
        <w:r w:rsidRPr="00D17C7C">
          <w:rPr>
            <w:rStyle w:val="Hyperlink"/>
            <w:sz w:val="18"/>
            <w:szCs w:val="18"/>
            <w:lang w:val="en-US"/>
          </w:rPr>
          <w:t>hfa</w:t>
        </w:r>
        <w:proofErr w:type="spellEnd"/>
        <w:r w:rsidRPr="00D17C7C">
          <w:rPr>
            <w:rStyle w:val="Hyperlink"/>
            <w:sz w:val="18"/>
            <w:szCs w:val="18"/>
          </w:rPr>
          <w:t>-</w:t>
        </w:r>
        <w:r w:rsidRPr="00D17C7C">
          <w:rPr>
            <w:rStyle w:val="Hyperlink"/>
            <w:sz w:val="18"/>
            <w:szCs w:val="18"/>
            <w:lang w:val="en-US"/>
          </w:rPr>
          <w:t>explorer</w:t>
        </w:r>
        <w:r w:rsidRPr="00D17C7C">
          <w:rPr>
            <w:rStyle w:val="Hyperlink"/>
            <w:sz w:val="18"/>
            <w:szCs w:val="18"/>
          </w:rPr>
          <w:t>/</w:t>
        </w:r>
      </w:hyperlink>
    </w:p>
  </w:footnote>
  <w:footnote w:id="12">
    <w:p w:rsidR="00FB6C9D" w:rsidRPr="00D17C7C" w:rsidRDefault="00FB6C9D" w:rsidP="003F2160">
      <w:pPr>
        <w:pStyle w:val="FootnoteText"/>
        <w:rPr>
          <w:lang w:val="en-US"/>
        </w:rPr>
      </w:pPr>
      <w:r w:rsidRPr="00D17C7C">
        <w:rPr>
          <w:rStyle w:val="FootnoteReference"/>
          <w:sz w:val="18"/>
          <w:szCs w:val="18"/>
        </w:rPr>
        <w:footnoteRef/>
      </w:r>
      <w:r w:rsidRPr="00D17C7C">
        <w:rPr>
          <w:sz w:val="18"/>
          <w:szCs w:val="18"/>
          <w:lang w:val="en-US"/>
        </w:rPr>
        <w:t xml:space="preserve"> </w:t>
      </w:r>
      <w:r w:rsidRPr="00A65A7F">
        <w:rPr>
          <w:sz w:val="18"/>
          <w:szCs w:val="18"/>
        </w:rPr>
        <w:t>Источник</w:t>
      </w:r>
      <w:r w:rsidRPr="00A65A7F">
        <w:rPr>
          <w:sz w:val="18"/>
          <w:szCs w:val="18"/>
          <w:lang w:val="en-US"/>
        </w:rPr>
        <w:t xml:space="preserve">: Health for All Explorer, WHO Regional Office for Europe, </w:t>
      </w:r>
      <w:hyperlink r:id="rId9" w:history="1">
        <w:r w:rsidRPr="00D17C7C">
          <w:rPr>
            <w:rStyle w:val="Hyperlink"/>
            <w:sz w:val="18"/>
            <w:szCs w:val="18"/>
            <w:lang w:val="en-US"/>
          </w:rPr>
          <w:t>https://gateway.euro.who.int/en/hfa-explorer/</w:t>
        </w:r>
      </w:hyperlink>
      <w:r w:rsidRPr="00D17C7C">
        <w:rPr>
          <w:lang w:val="en-US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4E61"/>
    <w:multiLevelType w:val="hybridMultilevel"/>
    <w:tmpl w:val="47CA6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9373A"/>
    <w:multiLevelType w:val="hybridMultilevel"/>
    <w:tmpl w:val="D0249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97FDC"/>
    <w:multiLevelType w:val="hybridMultilevel"/>
    <w:tmpl w:val="12EAF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A65"/>
    <w:multiLevelType w:val="hybridMultilevel"/>
    <w:tmpl w:val="67BE3C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634"/>
    <w:multiLevelType w:val="hybridMultilevel"/>
    <w:tmpl w:val="E802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2416A"/>
    <w:multiLevelType w:val="hybridMultilevel"/>
    <w:tmpl w:val="7646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A76D3"/>
    <w:multiLevelType w:val="hybridMultilevel"/>
    <w:tmpl w:val="B1581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F94210"/>
    <w:multiLevelType w:val="hybridMultilevel"/>
    <w:tmpl w:val="857EC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02662"/>
    <w:multiLevelType w:val="hybridMultilevel"/>
    <w:tmpl w:val="77EACA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0D01"/>
    <w:multiLevelType w:val="hybridMultilevel"/>
    <w:tmpl w:val="B85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1F05"/>
    <w:multiLevelType w:val="hybridMultilevel"/>
    <w:tmpl w:val="7C904782"/>
    <w:lvl w:ilvl="0" w:tplc="8CA891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50088"/>
    <w:multiLevelType w:val="hybridMultilevel"/>
    <w:tmpl w:val="2CD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238B"/>
    <w:multiLevelType w:val="hybridMultilevel"/>
    <w:tmpl w:val="4D3C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E7313"/>
    <w:multiLevelType w:val="hybridMultilevel"/>
    <w:tmpl w:val="0240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D1CC4"/>
    <w:multiLevelType w:val="hybridMultilevel"/>
    <w:tmpl w:val="79D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A494F"/>
    <w:multiLevelType w:val="hybridMultilevel"/>
    <w:tmpl w:val="810E715C"/>
    <w:lvl w:ilvl="0" w:tplc="7ACEC0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3EA8"/>
    <w:multiLevelType w:val="hybridMultilevel"/>
    <w:tmpl w:val="92AC6422"/>
    <w:lvl w:ilvl="0" w:tplc="BE962E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0"/>
    <w:rsid w:val="000046E2"/>
    <w:rsid w:val="00042A2D"/>
    <w:rsid w:val="00047349"/>
    <w:rsid w:val="00076B9B"/>
    <w:rsid w:val="0009285B"/>
    <w:rsid w:val="000A0840"/>
    <w:rsid w:val="000A131E"/>
    <w:rsid w:val="000B666D"/>
    <w:rsid w:val="000C0720"/>
    <w:rsid w:val="000E3352"/>
    <w:rsid w:val="000E77A9"/>
    <w:rsid w:val="000F2149"/>
    <w:rsid w:val="001110B5"/>
    <w:rsid w:val="00115B9C"/>
    <w:rsid w:val="00121ECE"/>
    <w:rsid w:val="001272EA"/>
    <w:rsid w:val="00132C88"/>
    <w:rsid w:val="00133BF6"/>
    <w:rsid w:val="0013698F"/>
    <w:rsid w:val="00153AB5"/>
    <w:rsid w:val="00186C43"/>
    <w:rsid w:val="00187F98"/>
    <w:rsid w:val="0019276E"/>
    <w:rsid w:val="00194728"/>
    <w:rsid w:val="001A3F9A"/>
    <w:rsid w:val="001B3AEF"/>
    <w:rsid w:val="001C5490"/>
    <w:rsid w:val="001E4C80"/>
    <w:rsid w:val="001E54D8"/>
    <w:rsid w:val="001E5870"/>
    <w:rsid w:val="0020044E"/>
    <w:rsid w:val="00204FE1"/>
    <w:rsid w:val="00223364"/>
    <w:rsid w:val="002312E3"/>
    <w:rsid w:val="002455E3"/>
    <w:rsid w:val="00247A01"/>
    <w:rsid w:val="00274826"/>
    <w:rsid w:val="00291FFB"/>
    <w:rsid w:val="002A1528"/>
    <w:rsid w:val="002A2F40"/>
    <w:rsid w:val="002B1A67"/>
    <w:rsid w:val="002B5D0F"/>
    <w:rsid w:val="002C1880"/>
    <w:rsid w:val="002D5D44"/>
    <w:rsid w:val="002E27CA"/>
    <w:rsid w:val="002F1D31"/>
    <w:rsid w:val="002F781E"/>
    <w:rsid w:val="003149C9"/>
    <w:rsid w:val="00325422"/>
    <w:rsid w:val="00326752"/>
    <w:rsid w:val="00330D9C"/>
    <w:rsid w:val="00341B99"/>
    <w:rsid w:val="003675AB"/>
    <w:rsid w:val="00375900"/>
    <w:rsid w:val="003814F8"/>
    <w:rsid w:val="003B009D"/>
    <w:rsid w:val="003B75D6"/>
    <w:rsid w:val="003D126D"/>
    <w:rsid w:val="003D5C16"/>
    <w:rsid w:val="003D7C54"/>
    <w:rsid w:val="003E774F"/>
    <w:rsid w:val="003F1845"/>
    <w:rsid w:val="003F2160"/>
    <w:rsid w:val="00421750"/>
    <w:rsid w:val="00427182"/>
    <w:rsid w:val="004546DC"/>
    <w:rsid w:val="0048534E"/>
    <w:rsid w:val="004B01E5"/>
    <w:rsid w:val="004C1395"/>
    <w:rsid w:val="004C4DB9"/>
    <w:rsid w:val="004E42D7"/>
    <w:rsid w:val="00505474"/>
    <w:rsid w:val="005072C5"/>
    <w:rsid w:val="00512B59"/>
    <w:rsid w:val="0054550D"/>
    <w:rsid w:val="00571454"/>
    <w:rsid w:val="005A1EA0"/>
    <w:rsid w:val="005A6472"/>
    <w:rsid w:val="005B6AB9"/>
    <w:rsid w:val="00600090"/>
    <w:rsid w:val="00622CE1"/>
    <w:rsid w:val="00631BA6"/>
    <w:rsid w:val="00633FBE"/>
    <w:rsid w:val="00635AE2"/>
    <w:rsid w:val="00657DF8"/>
    <w:rsid w:val="0066729F"/>
    <w:rsid w:val="00667333"/>
    <w:rsid w:val="006711BE"/>
    <w:rsid w:val="0068508D"/>
    <w:rsid w:val="00694DF8"/>
    <w:rsid w:val="00695E7B"/>
    <w:rsid w:val="006A317A"/>
    <w:rsid w:val="006A6E2B"/>
    <w:rsid w:val="006B282B"/>
    <w:rsid w:val="006B5263"/>
    <w:rsid w:val="006E0EAD"/>
    <w:rsid w:val="0070191F"/>
    <w:rsid w:val="00713266"/>
    <w:rsid w:val="00736BEA"/>
    <w:rsid w:val="00737324"/>
    <w:rsid w:val="00752B7D"/>
    <w:rsid w:val="00752D05"/>
    <w:rsid w:val="00784036"/>
    <w:rsid w:val="00791CFA"/>
    <w:rsid w:val="007B1395"/>
    <w:rsid w:val="007D0CDF"/>
    <w:rsid w:val="007F12A1"/>
    <w:rsid w:val="00804A41"/>
    <w:rsid w:val="00810EB4"/>
    <w:rsid w:val="0083331E"/>
    <w:rsid w:val="0083757D"/>
    <w:rsid w:val="008512A7"/>
    <w:rsid w:val="008702B8"/>
    <w:rsid w:val="00871296"/>
    <w:rsid w:val="00875D52"/>
    <w:rsid w:val="00884690"/>
    <w:rsid w:val="008A7057"/>
    <w:rsid w:val="008B2684"/>
    <w:rsid w:val="008C3DA3"/>
    <w:rsid w:val="008D0441"/>
    <w:rsid w:val="008E5A28"/>
    <w:rsid w:val="009105E3"/>
    <w:rsid w:val="00947CA1"/>
    <w:rsid w:val="00963B9C"/>
    <w:rsid w:val="00985B05"/>
    <w:rsid w:val="00997A6D"/>
    <w:rsid w:val="009A78AC"/>
    <w:rsid w:val="009B17F0"/>
    <w:rsid w:val="009E61EB"/>
    <w:rsid w:val="009E784A"/>
    <w:rsid w:val="00A04BDB"/>
    <w:rsid w:val="00A17F09"/>
    <w:rsid w:val="00A36DEF"/>
    <w:rsid w:val="00A41176"/>
    <w:rsid w:val="00A5155B"/>
    <w:rsid w:val="00A66654"/>
    <w:rsid w:val="00A725B0"/>
    <w:rsid w:val="00A752BA"/>
    <w:rsid w:val="00A81E63"/>
    <w:rsid w:val="00A87D4F"/>
    <w:rsid w:val="00A912B7"/>
    <w:rsid w:val="00A937B2"/>
    <w:rsid w:val="00AA0737"/>
    <w:rsid w:val="00AC1BDD"/>
    <w:rsid w:val="00AD0CAE"/>
    <w:rsid w:val="00AE569F"/>
    <w:rsid w:val="00B03AE1"/>
    <w:rsid w:val="00B03FD9"/>
    <w:rsid w:val="00B21912"/>
    <w:rsid w:val="00B2270F"/>
    <w:rsid w:val="00B23388"/>
    <w:rsid w:val="00B34458"/>
    <w:rsid w:val="00B41409"/>
    <w:rsid w:val="00B55203"/>
    <w:rsid w:val="00B562D6"/>
    <w:rsid w:val="00B64284"/>
    <w:rsid w:val="00B74BB9"/>
    <w:rsid w:val="00B837D6"/>
    <w:rsid w:val="00B87D4D"/>
    <w:rsid w:val="00BA375E"/>
    <w:rsid w:val="00BA6C14"/>
    <w:rsid w:val="00BA7114"/>
    <w:rsid w:val="00BC27C8"/>
    <w:rsid w:val="00BC4F4B"/>
    <w:rsid w:val="00BF46AA"/>
    <w:rsid w:val="00C02E1D"/>
    <w:rsid w:val="00C213BE"/>
    <w:rsid w:val="00C30A82"/>
    <w:rsid w:val="00C31424"/>
    <w:rsid w:val="00C42EFD"/>
    <w:rsid w:val="00C67C49"/>
    <w:rsid w:val="00C702B0"/>
    <w:rsid w:val="00C94339"/>
    <w:rsid w:val="00C95526"/>
    <w:rsid w:val="00CC1075"/>
    <w:rsid w:val="00CD69D9"/>
    <w:rsid w:val="00CE7A7B"/>
    <w:rsid w:val="00D027D3"/>
    <w:rsid w:val="00D17C7C"/>
    <w:rsid w:val="00D35B48"/>
    <w:rsid w:val="00D46C8E"/>
    <w:rsid w:val="00D6254B"/>
    <w:rsid w:val="00D811AB"/>
    <w:rsid w:val="00D97C66"/>
    <w:rsid w:val="00DA6452"/>
    <w:rsid w:val="00DA72F7"/>
    <w:rsid w:val="00DB3F47"/>
    <w:rsid w:val="00DB43D4"/>
    <w:rsid w:val="00DC3DD1"/>
    <w:rsid w:val="00DD35EC"/>
    <w:rsid w:val="00DD7C44"/>
    <w:rsid w:val="00DF5D1D"/>
    <w:rsid w:val="00E27355"/>
    <w:rsid w:val="00E340A2"/>
    <w:rsid w:val="00E36D33"/>
    <w:rsid w:val="00E47185"/>
    <w:rsid w:val="00E57569"/>
    <w:rsid w:val="00E63FB5"/>
    <w:rsid w:val="00E71C70"/>
    <w:rsid w:val="00E71D06"/>
    <w:rsid w:val="00E92CB3"/>
    <w:rsid w:val="00EA036E"/>
    <w:rsid w:val="00EA1F19"/>
    <w:rsid w:val="00EA67F7"/>
    <w:rsid w:val="00EB30C0"/>
    <w:rsid w:val="00EB4245"/>
    <w:rsid w:val="00EE28DD"/>
    <w:rsid w:val="00EE2BBB"/>
    <w:rsid w:val="00EF1AB2"/>
    <w:rsid w:val="00EF39D2"/>
    <w:rsid w:val="00EF4173"/>
    <w:rsid w:val="00F5205D"/>
    <w:rsid w:val="00F52FC4"/>
    <w:rsid w:val="00F5655F"/>
    <w:rsid w:val="00F70C8C"/>
    <w:rsid w:val="00F718C1"/>
    <w:rsid w:val="00F825F6"/>
    <w:rsid w:val="00F86720"/>
    <w:rsid w:val="00F95AAC"/>
    <w:rsid w:val="00FA6DD3"/>
    <w:rsid w:val="00FB27FD"/>
    <w:rsid w:val="00FB30B7"/>
    <w:rsid w:val="00FB6C9D"/>
    <w:rsid w:val="00FC00AB"/>
    <w:rsid w:val="00FC7F19"/>
    <w:rsid w:val="00FC7FF2"/>
    <w:rsid w:val="00FE4447"/>
    <w:rsid w:val="00FE4F39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728AE-EDA9-E348-9601-7591739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1E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Grille claire - Accent 31,Liste couleur - Accent 111,List Paragraph1,Liste couleur - Accent 11,Liste couleur - Accent 112,Bullets,List Paragraph nowy,Numbered List Paragraph,List Paragraph (numbered (a)),Paragraphe de liste1"/>
    <w:basedOn w:val="Normal"/>
    <w:link w:val="ListParagraphChar"/>
    <w:uiPriority w:val="99"/>
    <w:qFormat/>
    <w:rsid w:val="009E61EB"/>
    <w:pPr>
      <w:ind w:left="720"/>
      <w:contextualSpacing/>
    </w:pPr>
    <w:rPr>
      <w:rFonts w:ascii="Georgia" w:eastAsia="Calibri" w:hAnsi="Georgia" w:cs="Arial"/>
      <w:b/>
    </w:rPr>
  </w:style>
  <w:style w:type="character" w:styleId="Hyperlink">
    <w:name w:val="Hyperlink"/>
    <w:basedOn w:val="DefaultParagraphFont"/>
    <w:uiPriority w:val="99"/>
    <w:rsid w:val="009E61E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References Char,Grille claire - Accent 31 Char,Liste couleur - Accent 111 Char,List Paragraph1 Char,Liste couleur - Accent 11 Char,Liste couleur - Accent 112 Char,Bullets Char,List Paragraph nowy Char,Numbered List Paragraph Char"/>
    <w:basedOn w:val="DefaultParagraphFont"/>
    <w:link w:val="ListParagraph"/>
    <w:uiPriority w:val="99"/>
    <w:locked/>
    <w:rsid w:val="009E61EB"/>
    <w:rPr>
      <w:rFonts w:ascii="Georgia" w:eastAsia="Calibri" w:hAnsi="Georgia" w:cs="Arial"/>
      <w:b/>
      <w:lang w:val="ru-RU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footnote text,Footnote Text English,single space,FOOTNOTES"/>
    <w:basedOn w:val="Normal"/>
    <w:link w:val="FootnoteTextChar"/>
    <w:uiPriority w:val="99"/>
    <w:rsid w:val="009E61EB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footnote text Char1"/>
    <w:basedOn w:val="DefaultParagraphFont"/>
    <w:link w:val="FootnoteText"/>
    <w:uiPriority w:val="99"/>
    <w:rsid w:val="009E61EB"/>
    <w:rPr>
      <w:rFonts w:ascii="Arial" w:eastAsia="SimSun" w:hAnsi="Arial" w:cs="Times New Roman"/>
      <w:sz w:val="20"/>
      <w:szCs w:val="20"/>
      <w:lang w:val="ru-RU" w:eastAsia="zh-CN"/>
    </w:rPr>
  </w:style>
  <w:style w:type="character" w:styleId="FootnoteReference">
    <w:name w:val="footnote reference"/>
    <w:aliases w:val="ftref,BVI fnr,16 Point,Superscript 6 Point,Fußnotenzeichen DISS,fr,(NECG) Footnote Reference,footnote ref,Char Char Char Char Car Char, BVI fnr"/>
    <w:basedOn w:val="DefaultParagraphFont"/>
    <w:uiPriority w:val="99"/>
    <w:rsid w:val="009E61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2160"/>
    <w:pPr>
      <w:tabs>
        <w:tab w:val="center" w:pos="4513"/>
        <w:tab w:val="right" w:pos="9026"/>
      </w:tabs>
      <w:spacing w:after="0" w:line="240" w:lineRule="auto"/>
    </w:pPr>
    <w:rPr>
      <w:rFonts w:ascii="Georgia" w:eastAsia="Calibri" w:hAnsi="Georgia" w:cs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3F2160"/>
    <w:rPr>
      <w:rFonts w:ascii="Georgia" w:eastAsia="Calibri" w:hAnsi="Georgia" w:cs="Arial"/>
      <w:b/>
    </w:rPr>
  </w:style>
  <w:style w:type="paragraph" w:styleId="Header">
    <w:name w:val="header"/>
    <w:basedOn w:val="Normal"/>
    <w:link w:val="HeaderChar"/>
    <w:uiPriority w:val="99"/>
    <w:unhideWhenUsed/>
    <w:rsid w:val="007B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95"/>
  </w:style>
  <w:style w:type="paragraph" w:styleId="Revision">
    <w:name w:val="Revision"/>
    <w:hidden/>
    <w:uiPriority w:val="99"/>
    <w:semiHidden/>
    <w:rsid w:val="006A6E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47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lobalfund.org/en/operation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heglobalfund.org/en/applying/funding/resourc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globalfund.org/en/applying/funding/resources/" TargetMode="External"/><Relationship Id="rId14" Type="http://schemas.openxmlformats.org/officeDocument/2006/relationships/hyperlink" Target="https://www.who.int/tb/data/en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euro.who.int/en/hfa-explorer/" TargetMode="External"/><Relationship Id="rId3" Type="http://schemas.openxmlformats.org/officeDocument/2006/relationships/hyperlink" Target="http://www.who.int/tb/publications/global_report/en/" TargetMode="External"/><Relationship Id="rId7" Type="http://schemas.openxmlformats.org/officeDocument/2006/relationships/hyperlink" Target="http://www.theglobalfund.org/en/fundingmodel/process/cofinancing/" TargetMode="External"/><Relationship Id="rId2" Type="http://schemas.openxmlformats.org/officeDocument/2006/relationships/hyperlink" Target="http://data.worldbank.org/country/kazakhstan" TargetMode="External"/><Relationship Id="rId1" Type="http://schemas.openxmlformats.org/officeDocument/2006/relationships/hyperlink" Target="http://stat.gov.kz" TargetMode="External"/><Relationship Id="rId6" Type="http://schemas.openxmlformats.org/officeDocument/2006/relationships/hyperlink" Target="http://www.theglobalfund.org/en/fundingmodel/process/cofinancing/" TargetMode="External"/><Relationship Id="rId5" Type="http://schemas.openxmlformats.org/officeDocument/2006/relationships/hyperlink" Target="http://www.theglobalfund.org/en/fundingmodel/process/eligibility/" TargetMode="External"/><Relationship Id="rId4" Type="http://schemas.openxmlformats.org/officeDocument/2006/relationships/hyperlink" Target="http://www.unaids.org/en/regionscountries/countries/kazakhstan" TargetMode="External"/><Relationship Id="rId9" Type="http://schemas.openxmlformats.org/officeDocument/2006/relationships/hyperlink" Target="https://gateway.euro.who.int/en/hfa-explor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6B56-6F6D-4079-8925-0790E5B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40</Pages>
  <Words>17777</Words>
  <Characters>101330</Characters>
  <Application>Microsoft Office Word</Application>
  <DocSecurity>0</DocSecurity>
  <Lines>844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Victor</cp:lastModifiedBy>
  <cp:revision>159</cp:revision>
  <cp:lastPrinted>2019-01-14T04:47:00Z</cp:lastPrinted>
  <dcterms:created xsi:type="dcterms:W3CDTF">2018-12-09T19:16:00Z</dcterms:created>
  <dcterms:modified xsi:type="dcterms:W3CDTF">2019-01-14T04:50:00Z</dcterms:modified>
</cp:coreProperties>
</file>