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8" w:type="dxa"/>
        <w:tblInd w:w="-34" w:type="dxa"/>
        <w:tblLook w:val="04A0" w:firstRow="1" w:lastRow="0" w:firstColumn="1" w:lastColumn="0" w:noHBand="0" w:noVBand="1"/>
      </w:tblPr>
      <w:tblGrid>
        <w:gridCol w:w="3994"/>
        <w:gridCol w:w="2089"/>
        <w:gridCol w:w="3375"/>
      </w:tblGrid>
      <w:tr w:rsidR="009C0528" w:rsidRPr="002947BC" w14:paraId="6FC1A4AB" w14:textId="77777777" w:rsidTr="0073031A">
        <w:trPr>
          <w:trHeight w:val="986"/>
        </w:trPr>
        <w:tc>
          <w:tcPr>
            <w:tcW w:w="3994" w:type="dxa"/>
            <w:shd w:val="clear" w:color="auto" w:fill="auto"/>
          </w:tcPr>
          <w:p w14:paraId="48C7A188" w14:textId="3FC9BA6C" w:rsidR="009C0528" w:rsidRPr="002947BC" w:rsidRDefault="0097079F" w:rsidP="00730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528" w:rsidRPr="002947B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2D8CABF5" w14:textId="77777777" w:rsidR="009C0528" w:rsidRPr="002947BC" w:rsidRDefault="009C0528" w:rsidP="00730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Менеджер ГРП ГФ</w:t>
            </w:r>
          </w:p>
          <w:p w14:paraId="08ADAFC6" w14:textId="77777777" w:rsidR="009C0528" w:rsidRPr="002947BC" w:rsidRDefault="009C0528" w:rsidP="00730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Ш. Исмаилов</w:t>
            </w:r>
          </w:p>
          <w:p w14:paraId="0A3CE346" w14:textId="77777777" w:rsidR="009C0528" w:rsidRPr="002947BC" w:rsidRDefault="009C0528" w:rsidP="00730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CE7AB93" w14:textId="77777777" w:rsidR="009C0528" w:rsidRPr="002947BC" w:rsidRDefault="009C0528" w:rsidP="00730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2089" w:type="dxa"/>
            <w:shd w:val="clear" w:color="auto" w:fill="auto"/>
          </w:tcPr>
          <w:p w14:paraId="3EAE1A9E" w14:textId="77777777" w:rsidR="009C0528" w:rsidRPr="002947BC" w:rsidRDefault="009C0528" w:rsidP="00730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383FEEAC" w14:textId="77777777" w:rsidR="009C0528" w:rsidRPr="002947BC" w:rsidRDefault="009C0528" w:rsidP="007303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07B41D12" w14:textId="77777777" w:rsidR="009C0528" w:rsidRPr="002947BC" w:rsidRDefault="009C0528" w:rsidP="00730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Директор ННЦФ МЗ РК</w:t>
            </w:r>
          </w:p>
          <w:p w14:paraId="23CBF430" w14:textId="77777777" w:rsidR="009C0528" w:rsidRPr="002947BC" w:rsidRDefault="009C0528" w:rsidP="00730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</w:p>
          <w:p w14:paraId="62639533" w14:textId="77777777" w:rsidR="009C0528" w:rsidRPr="002947BC" w:rsidRDefault="009C0528" w:rsidP="00730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15FB579" w14:textId="77777777" w:rsidR="009C0528" w:rsidRPr="002947BC" w:rsidRDefault="009C0528" w:rsidP="00730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4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2D7196C" w14:textId="77777777" w:rsidR="009C0528" w:rsidRDefault="009C0528" w:rsidP="009C052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40F73441" w14:textId="77777777" w:rsidR="009C0528" w:rsidRDefault="009C0528" w:rsidP="009C052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669C6A5E" w14:textId="77777777" w:rsidR="009C0528" w:rsidRDefault="009C0528" w:rsidP="009C052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/>
        </w:rPr>
      </w:pPr>
    </w:p>
    <w:p w14:paraId="19A9804D" w14:textId="77777777" w:rsidR="009C0528" w:rsidRPr="0097079F" w:rsidRDefault="009C0528" w:rsidP="009C052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7079F">
        <w:rPr>
          <w:rFonts w:eastAsia="Times New Roman" w:cstheme="minorHAnsi"/>
          <w:b/>
          <w:bCs/>
          <w:sz w:val="24"/>
          <w:szCs w:val="24"/>
        </w:rPr>
        <w:t>Техническое Задание</w:t>
      </w:r>
    </w:p>
    <w:p w14:paraId="641F5312" w14:textId="77777777" w:rsidR="00502803" w:rsidRPr="0097079F" w:rsidRDefault="009C0528" w:rsidP="009C052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r w:rsidRPr="0097079F">
        <w:rPr>
          <w:rFonts w:eastAsia="Times New Roman" w:cstheme="minorHAnsi"/>
          <w:b/>
          <w:bCs/>
          <w:sz w:val="24"/>
          <w:szCs w:val="24"/>
        </w:rPr>
        <w:t xml:space="preserve">для внешнего консультанта </w:t>
      </w:r>
    </w:p>
    <w:p w14:paraId="16ABCFE2" w14:textId="2681FEF9" w:rsidR="009C0528" w:rsidRPr="0097079F" w:rsidRDefault="009C0528" w:rsidP="009C052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7079F">
        <w:rPr>
          <w:rFonts w:eastAsia="Times New Roman" w:cstheme="minorHAnsi"/>
          <w:b/>
          <w:bCs/>
          <w:sz w:val="24"/>
          <w:szCs w:val="24"/>
        </w:rPr>
        <w:t>по проведению оценки оптимизации коечного фонда противотуберкулезных организаций для лечения больных ТБ и ЛУ-ТБ</w:t>
      </w:r>
    </w:p>
    <w:p w14:paraId="5852D6A2" w14:textId="77777777" w:rsidR="009C0528" w:rsidRPr="0097079F" w:rsidRDefault="009C0528" w:rsidP="009C052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079F">
        <w:rPr>
          <w:rFonts w:eastAsia="Times New Roman" w:cstheme="minorHAnsi"/>
          <w:b/>
          <w:bCs/>
          <w:sz w:val="24"/>
          <w:szCs w:val="24"/>
        </w:rPr>
        <w:t xml:space="preserve"> за период с 2014 по 2019 годы в Республике Казахстан</w:t>
      </w:r>
      <w:r w:rsidRPr="0097079F" w:rsidDel="005D766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bookmarkEnd w:id="0"/>
    <w:p w14:paraId="7D00F444" w14:textId="77777777" w:rsidR="009C0528" w:rsidRPr="0097079F" w:rsidRDefault="009C0528" w:rsidP="009C0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7D8BB" w14:textId="77777777" w:rsidR="009C0528" w:rsidRPr="0097079F" w:rsidRDefault="009C0528" w:rsidP="009C0528">
      <w:pPr>
        <w:pStyle w:val="2"/>
        <w:rPr>
          <w:rFonts w:asciiTheme="minorHAnsi" w:hAnsiTheme="minorHAnsi" w:cstheme="minorHAnsi"/>
          <w:b/>
          <w:sz w:val="22"/>
          <w:lang w:val="ru-RU"/>
        </w:rPr>
      </w:pPr>
      <w:r w:rsidRPr="0097079F">
        <w:rPr>
          <w:rFonts w:asciiTheme="minorHAnsi" w:hAnsiTheme="minorHAnsi" w:cstheme="minorHAnsi"/>
          <w:b/>
          <w:sz w:val="22"/>
          <w:lang w:val="ru-RU"/>
        </w:rPr>
        <w:t>Введение</w:t>
      </w:r>
    </w:p>
    <w:p w14:paraId="4A323382" w14:textId="77777777" w:rsidR="009C0528" w:rsidRPr="0097079F" w:rsidRDefault="009C0528" w:rsidP="009C0528">
      <w:pPr>
        <w:spacing w:line="240" w:lineRule="auto"/>
        <w:ind w:right="72"/>
        <w:jc w:val="both"/>
      </w:pPr>
      <w:r w:rsidRPr="0097079F">
        <w:t>Туберкулез (ТБ) вновь стал важной проблемой в сфере общественного здравоохранения в 1990-х годах. За последнее десятилетие оценочная заболеваемость ТБ в Казахстане по ВОЗ значительно снизилась: от более 150 случаев на 100,000 в 2008-2009 гг. до 66 на 100,000 в 2017 г</w:t>
      </w:r>
      <w:r w:rsidRPr="0097079F">
        <w:rPr>
          <w:vertAlign w:val="superscript"/>
        </w:rPr>
        <w:footnoteReference w:id="1"/>
      </w:r>
      <w:r w:rsidRPr="0097079F">
        <w:t xml:space="preserve">. Смертность от ТБ по оценке ВОЗ сравнительно низкая (0.89 случаев на 100,000, исключая ТБ/ВИЧ и 0.20 случаев на 100,000 среди ВИЧ-ассоциированного ТБ). </w:t>
      </w:r>
    </w:p>
    <w:p w14:paraId="02EED733" w14:textId="77777777" w:rsidR="009C0528" w:rsidRPr="0097079F" w:rsidRDefault="009C0528" w:rsidP="009C0528">
      <w:pPr>
        <w:spacing w:line="240" w:lineRule="auto"/>
        <w:ind w:right="72"/>
        <w:jc w:val="both"/>
      </w:pPr>
      <w:r w:rsidRPr="0097079F">
        <w:t xml:space="preserve">За последние десять лет, в период между 2008 и 2018 гг., ежегодное число зарегистрированных случаев активного ТБ снизилось более чем в вдвое; показатель регистрации случаев на 100,000 снизился для новых случаев с 125.6 до 48.2 (на 61.6%), и для всех случаев ТБ – с 184.5 до 72.0 (на 60.9%). В то же время доля ранее леченых случаев остается высокой: в 2018 году их насчитывалось 33.1% от всех зарегистрированных случаев активного ТБ. Показатель смертности от ТБ снизился за тот же период времени с 16.6 до 2.4 случаев на 100,000 населения. </w:t>
      </w:r>
    </w:p>
    <w:p w14:paraId="1FC27242" w14:textId="77777777" w:rsidR="009C0528" w:rsidRPr="0097079F" w:rsidRDefault="009C0528" w:rsidP="009C0528">
      <w:pPr>
        <w:spacing w:after="273" w:line="240" w:lineRule="auto"/>
        <w:ind w:right="72"/>
        <w:jc w:val="both"/>
      </w:pPr>
      <w:r w:rsidRPr="0097079F">
        <w:t xml:space="preserve">Несмотря на то, что в результате общей тенденции снижения регистрации случаев ТБ за последнее десятилетие общее число случаев МЛУ ТБ в стране также снизилось (с 8,048 случаев в 2014 г. до 6,148 случаев в 2018 г.), высокое бремя устойчивости к противотуберкулезным препаратам является основной проблемой для НТП. Согласно данным НТП за 2018 г. результаты теста на лекарственную чувствительность (ТЛЧ) к противотуберкулезным препаратам первого ряда (ППР), проводимого областными референс лабораториями и Национальной референс лабораторией (НРЛ), показали, что доля ТБ устойчивого к </w:t>
      </w:r>
      <w:proofErr w:type="spellStart"/>
      <w:r w:rsidRPr="0097079F">
        <w:t>рифампицину</w:t>
      </w:r>
      <w:proofErr w:type="spellEnd"/>
      <w:r w:rsidRPr="0097079F">
        <w:t xml:space="preserve"> (РУ ТБ) составила 25.1% среди новых случаев и 46,2% среди ранее </w:t>
      </w:r>
    </w:p>
    <w:p w14:paraId="01A60056" w14:textId="77777777" w:rsidR="009C0528" w:rsidRPr="0097079F" w:rsidRDefault="009C0528" w:rsidP="009C0528">
      <w:pPr>
        <w:spacing w:after="273" w:line="240" w:lineRule="auto"/>
        <w:ind w:right="72"/>
        <w:jc w:val="both"/>
      </w:pPr>
      <w:r w:rsidRPr="0097079F">
        <w:rPr>
          <w:rFonts w:eastAsia="Times New Roman" w:cstheme="minorHAnsi"/>
          <w:szCs w:val="24"/>
        </w:rPr>
        <w:t xml:space="preserve">В течение 2014–2019 годов в рамках реализации Национального Стратегического Плана по контролю ТБ на 2014-2020 года и предыдущего гранта Глобального фонда массивная оптимизация противотуберкулезных организаций была реализована.  Количество противотуберкулезных коек по всей стране уменьшилось с 11848 в 2014 </w:t>
      </w:r>
      <w:proofErr w:type="gramStart"/>
      <w:r w:rsidRPr="0097079F">
        <w:rPr>
          <w:rFonts w:eastAsia="Times New Roman" w:cstheme="minorHAnsi"/>
          <w:szCs w:val="24"/>
        </w:rPr>
        <w:t>году  до</w:t>
      </w:r>
      <w:proofErr w:type="gramEnd"/>
      <w:r w:rsidRPr="0097079F">
        <w:rPr>
          <w:rFonts w:eastAsia="Times New Roman" w:cstheme="minorHAnsi"/>
          <w:szCs w:val="24"/>
        </w:rPr>
        <w:t xml:space="preserve"> 5529 в 2019 году, в результате внедрения амбулаторной модели оказания помощи больным с туберкулезом. </w:t>
      </w:r>
      <w:r w:rsidRPr="0097079F">
        <w:t xml:space="preserve">В целом по РК за 2017-2019 годы сокращены 2725 ТБ коек, в том числе в пилотных регионах - 612 коек, средняя продолжительность пребывания на койке снизилась в пилотах  с 115 в 2018 году до 66 в 2019 году , в том числе МЛУ койки – с 139 до 83, койки ЧТБ – с 96 до 58.леченых случаев.  </w:t>
      </w:r>
    </w:p>
    <w:p w14:paraId="586789C1" w14:textId="77777777" w:rsidR="009C0528" w:rsidRPr="0097079F" w:rsidRDefault="009C0528" w:rsidP="009C05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1C98E5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  <w:r w:rsidRPr="0097079F">
        <w:rPr>
          <w:rFonts w:eastAsia="Times New Roman" w:cstheme="minorHAnsi"/>
          <w:b/>
        </w:rPr>
        <w:lastRenderedPageBreak/>
        <w:t>Общая цель технической оценки</w:t>
      </w:r>
    </w:p>
    <w:p w14:paraId="3F2237B9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EC08655" w14:textId="7514EC05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97079F">
        <w:rPr>
          <w:rFonts w:eastAsia="Times New Roman" w:cstheme="minorHAnsi"/>
          <w:szCs w:val="24"/>
        </w:rPr>
        <w:t xml:space="preserve">Оценка проведенной оптимизации коечного фонда противотуберкулезных организаций для больных с ЛЧ и ЛУ-ТБ в РК в течение 2014-2019 годов, а также разработка рекомендаций для НТП по эффективному </w:t>
      </w:r>
      <w:r w:rsidR="00502803" w:rsidRPr="0097079F">
        <w:rPr>
          <w:rFonts w:eastAsia="Times New Roman" w:cstheme="minorHAnsi"/>
          <w:szCs w:val="24"/>
        </w:rPr>
        <w:t xml:space="preserve">и рациональному </w:t>
      </w:r>
      <w:r w:rsidRPr="0097079F">
        <w:rPr>
          <w:rFonts w:eastAsia="Times New Roman" w:cstheme="minorHAnsi"/>
          <w:szCs w:val="24"/>
        </w:rPr>
        <w:t>использованию коечного фонда  ТБ организаций на 2021-2025 годы.</w:t>
      </w:r>
    </w:p>
    <w:p w14:paraId="5AEE215A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C82558E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  <w:r w:rsidRPr="0097079F">
        <w:rPr>
          <w:rFonts w:eastAsia="Times New Roman" w:cstheme="minorHAnsi"/>
          <w:b/>
        </w:rPr>
        <w:t>Задачи консультанта</w:t>
      </w:r>
    </w:p>
    <w:p w14:paraId="2F191CF3" w14:textId="77777777" w:rsidR="009C0528" w:rsidRPr="0097079F" w:rsidRDefault="009C0528" w:rsidP="009C0528">
      <w:p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Во время оценки консультант должен провести следующие мероприятия:</w:t>
      </w:r>
    </w:p>
    <w:p w14:paraId="7178738F" w14:textId="77777777" w:rsidR="009C0528" w:rsidRPr="0097079F" w:rsidRDefault="009C0528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Пересмотреть национальную политику и нормативные акты, которые определяют текущую организацию ТБ службы и финансирование ТБ коек;</w:t>
      </w:r>
    </w:p>
    <w:p w14:paraId="34F63A9F" w14:textId="22A20BBA" w:rsidR="009C0528" w:rsidRPr="0097079F" w:rsidRDefault="009C0528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Оценить </w:t>
      </w:r>
      <w:r w:rsidR="005E72E0" w:rsidRPr="0097079F">
        <w:rPr>
          <w:rFonts w:cstheme="minorHAnsi"/>
          <w:szCs w:val="24"/>
        </w:rPr>
        <w:t xml:space="preserve">эффективность </w:t>
      </w:r>
      <w:r w:rsidRPr="0097079F">
        <w:rPr>
          <w:rFonts w:cstheme="minorHAnsi"/>
          <w:szCs w:val="24"/>
        </w:rPr>
        <w:t>оптимизаци</w:t>
      </w:r>
      <w:r w:rsidR="005E72E0" w:rsidRPr="0097079F">
        <w:rPr>
          <w:rFonts w:cstheme="minorHAnsi"/>
          <w:szCs w:val="24"/>
        </w:rPr>
        <w:t>и</w:t>
      </w:r>
      <w:r w:rsidRPr="0097079F">
        <w:rPr>
          <w:rFonts w:cstheme="minorHAnsi"/>
          <w:szCs w:val="24"/>
        </w:rPr>
        <w:t xml:space="preserve"> противотуберкулезных стационарных учреждений</w:t>
      </w:r>
      <w:r w:rsidR="005E72E0" w:rsidRPr="0097079F">
        <w:rPr>
          <w:rFonts w:cstheme="minorHAnsi"/>
          <w:szCs w:val="24"/>
        </w:rPr>
        <w:t xml:space="preserve"> и сокращения коечного фонда для лечения ТБ пациентов</w:t>
      </w:r>
      <w:r w:rsidRPr="0097079F">
        <w:rPr>
          <w:rFonts w:cstheme="minorHAnsi"/>
          <w:szCs w:val="24"/>
        </w:rPr>
        <w:t>, котор</w:t>
      </w:r>
      <w:r w:rsidR="005E72E0" w:rsidRPr="0097079F">
        <w:rPr>
          <w:rFonts w:cstheme="minorHAnsi"/>
          <w:szCs w:val="24"/>
        </w:rPr>
        <w:t>ые</w:t>
      </w:r>
      <w:r w:rsidRPr="0097079F">
        <w:rPr>
          <w:rFonts w:cstheme="minorHAnsi"/>
          <w:szCs w:val="24"/>
        </w:rPr>
        <w:t xml:space="preserve"> был</w:t>
      </w:r>
      <w:r w:rsidR="005E72E0" w:rsidRPr="0097079F">
        <w:rPr>
          <w:rFonts w:cstheme="minorHAnsi"/>
          <w:szCs w:val="24"/>
        </w:rPr>
        <w:t>и</w:t>
      </w:r>
      <w:r w:rsidRPr="0097079F">
        <w:rPr>
          <w:rFonts w:cstheme="minorHAnsi"/>
          <w:szCs w:val="24"/>
        </w:rPr>
        <w:t xml:space="preserve"> реализован</w:t>
      </w:r>
      <w:r w:rsidR="005E72E0" w:rsidRPr="0097079F">
        <w:rPr>
          <w:rFonts w:cstheme="minorHAnsi"/>
          <w:szCs w:val="24"/>
        </w:rPr>
        <w:t>ы</w:t>
      </w:r>
      <w:r w:rsidRPr="0097079F">
        <w:rPr>
          <w:rFonts w:cstheme="minorHAnsi"/>
          <w:szCs w:val="24"/>
        </w:rPr>
        <w:t xml:space="preserve"> в период </w:t>
      </w:r>
      <w:r w:rsidR="005E72E0" w:rsidRPr="0097079F">
        <w:rPr>
          <w:rFonts w:cstheme="minorHAnsi"/>
          <w:szCs w:val="24"/>
        </w:rPr>
        <w:t xml:space="preserve">с </w:t>
      </w:r>
      <w:r w:rsidRPr="0097079F">
        <w:rPr>
          <w:rFonts w:cstheme="minorHAnsi"/>
          <w:szCs w:val="24"/>
        </w:rPr>
        <w:t>2014</w:t>
      </w:r>
      <w:r w:rsidR="005E72E0" w:rsidRPr="0097079F">
        <w:rPr>
          <w:rFonts w:cstheme="minorHAnsi"/>
          <w:szCs w:val="24"/>
        </w:rPr>
        <w:t xml:space="preserve"> по </w:t>
      </w:r>
      <w:r w:rsidRPr="0097079F">
        <w:rPr>
          <w:rFonts w:cstheme="minorHAnsi"/>
          <w:szCs w:val="24"/>
        </w:rPr>
        <w:t>2019 год</w:t>
      </w:r>
      <w:r w:rsidR="005E72E0" w:rsidRPr="0097079F">
        <w:rPr>
          <w:rFonts w:cstheme="minorHAnsi"/>
          <w:szCs w:val="24"/>
        </w:rPr>
        <w:t>ы</w:t>
      </w:r>
      <w:r w:rsidRPr="0097079F">
        <w:rPr>
          <w:rFonts w:cstheme="minorHAnsi"/>
          <w:szCs w:val="24"/>
        </w:rPr>
        <w:t>, включая выявленные барьеры, проблемы и вызовы;</w:t>
      </w:r>
    </w:p>
    <w:p w14:paraId="6533C166" w14:textId="1A35988F" w:rsidR="009C0528" w:rsidRPr="0097079F" w:rsidRDefault="009C0528" w:rsidP="009C0528">
      <w:pPr>
        <w:pStyle w:val="aa"/>
        <w:numPr>
          <w:ilvl w:val="0"/>
          <w:numId w:val="8"/>
        </w:numPr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Оценить </w:t>
      </w:r>
      <w:r w:rsidR="005E72E0" w:rsidRPr="0097079F">
        <w:rPr>
          <w:rFonts w:cstheme="minorHAnsi"/>
          <w:szCs w:val="24"/>
        </w:rPr>
        <w:t xml:space="preserve">результаты </w:t>
      </w:r>
      <w:r w:rsidRPr="0097079F">
        <w:rPr>
          <w:rFonts w:cstheme="minorHAnsi"/>
          <w:szCs w:val="24"/>
        </w:rPr>
        <w:t>оптимизации с помощью собеседований с руководителями здравоохранения на разных уровнях оказания медицинской помощи (республиканском, региональном, районном);</w:t>
      </w:r>
    </w:p>
    <w:p w14:paraId="0D8F4584" w14:textId="420ED0CC" w:rsidR="009C0528" w:rsidRPr="0097079F" w:rsidRDefault="009C0528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Провести обзор среднесрочных и долгосрочных прогнозов </w:t>
      </w:r>
      <w:r w:rsidR="005E72E0" w:rsidRPr="0097079F">
        <w:rPr>
          <w:rFonts w:cstheme="minorHAnsi"/>
          <w:szCs w:val="24"/>
        </w:rPr>
        <w:t xml:space="preserve">ожидаемых </w:t>
      </w:r>
      <w:r w:rsidRPr="0097079F">
        <w:rPr>
          <w:rFonts w:cstheme="minorHAnsi"/>
          <w:szCs w:val="24"/>
        </w:rPr>
        <w:t xml:space="preserve">случаев туберкулеза </w:t>
      </w:r>
      <w:r w:rsidR="005E72E0" w:rsidRPr="0097079F">
        <w:rPr>
          <w:rFonts w:cstheme="minorHAnsi"/>
          <w:szCs w:val="24"/>
        </w:rPr>
        <w:t xml:space="preserve">в стране </w:t>
      </w:r>
      <w:r w:rsidRPr="0097079F">
        <w:rPr>
          <w:rFonts w:cstheme="minorHAnsi"/>
          <w:szCs w:val="24"/>
        </w:rPr>
        <w:t>с учетом последних эпидемиологических тенденций;</w:t>
      </w:r>
    </w:p>
    <w:p w14:paraId="4C6A9C2A" w14:textId="342876E5" w:rsidR="009C0528" w:rsidRPr="0097079F" w:rsidRDefault="009C0528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Оценить потребность в противотуберкулезных больничных организациях и в количестве </w:t>
      </w:r>
      <w:r w:rsidR="009567B7" w:rsidRPr="0097079F">
        <w:rPr>
          <w:rFonts w:cstheme="minorHAnsi"/>
          <w:szCs w:val="24"/>
        </w:rPr>
        <w:t xml:space="preserve">ТБ </w:t>
      </w:r>
      <w:r w:rsidRPr="0097079F">
        <w:rPr>
          <w:rFonts w:cstheme="minorHAnsi"/>
          <w:szCs w:val="24"/>
        </w:rPr>
        <w:t>коек на основе эпидемиологических прогнозов и профиля резистентности</w:t>
      </w:r>
      <w:r w:rsidR="009567B7" w:rsidRPr="0097079F">
        <w:rPr>
          <w:rFonts w:cstheme="minorHAnsi"/>
          <w:szCs w:val="24"/>
        </w:rPr>
        <w:t xml:space="preserve"> в стране</w:t>
      </w:r>
      <w:r w:rsidRPr="0097079F">
        <w:rPr>
          <w:rFonts w:cstheme="minorHAnsi"/>
          <w:szCs w:val="24"/>
        </w:rPr>
        <w:t>;</w:t>
      </w:r>
    </w:p>
    <w:p w14:paraId="30F5CE7A" w14:textId="75F8DEC9" w:rsidR="009C0528" w:rsidRPr="0097079F" w:rsidRDefault="009C0528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Разработать рекомендации для НТП по оптимизации инфраструктуры противотуберкулезных организаций на 2021-2025 годы в соответствии с рекомендациями ВОЗ и передовой практикой.</w:t>
      </w:r>
    </w:p>
    <w:p w14:paraId="6787B975" w14:textId="2F9C7500" w:rsidR="00564EDB" w:rsidRPr="0097079F" w:rsidRDefault="00564EDB" w:rsidP="009C0528">
      <w:pPr>
        <w:pStyle w:val="aa"/>
        <w:numPr>
          <w:ilvl w:val="0"/>
          <w:numId w:val="8"/>
        </w:numPr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Определение ключевых тем и аспектов, необходимых для включения в программы обучения и повышения потенциала организаторов здравоохранения и руководителей ТБ службы  по </w:t>
      </w:r>
      <w:r w:rsidR="00CA2EA0" w:rsidRPr="0097079F">
        <w:rPr>
          <w:rFonts w:cstheme="minorHAnsi"/>
          <w:szCs w:val="24"/>
        </w:rPr>
        <w:t>вопросам финансирования ТБ услуг и работы ТБ стационаров.</w:t>
      </w:r>
    </w:p>
    <w:p w14:paraId="60FEE247" w14:textId="77777777" w:rsidR="009C0528" w:rsidRPr="0097079F" w:rsidRDefault="009C0528" w:rsidP="009C052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center"/>
        <w:rPr>
          <w:rFonts w:asciiTheme="minorHAnsi" w:hAnsiTheme="minorHAnsi" w:cstheme="minorHAnsi"/>
          <w:b/>
          <w:i/>
          <w:szCs w:val="24"/>
        </w:rPr>
      </w:pPr>
    </w:p>
    <w:p w14:paraId="2D3BB455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  <w:r w:rsidRPr="0097079F">
        <w:rPr>
          <w:rFonts w:eastAsia="Times New Roman" w:cstheme="minorHAnsi"/>
          <w:b/>
        </w:rPr>
        <w:t>Ожидаемые результаты</w:t>
      </w:r>
    </w:p>
    <w:p w14:paraId="6681E1FD" w14:textId="5596685E" w:rsidR="009C0528" w:rsidRPr="0097079F" w:rsidRDefault="00332589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97079F">
        <w:rPr>
          <w:rFonts w:eastAsia="Times New Roman" w:cstheme="minorHAnsi"/>
          <w:szCs w:val="24"/>
        </w:rPr>
        <w:t xml:space="preserve">Внешний </w:t>
      </w:r>
      <w:r w:rsidR="009C0528" w:rsidRPr="0097079F">
        <w:rPr>
          <w:rFonts w:eastAsia="Times New Roman" w:cstheme="minorHAnsi"/>
          <w:szCs w:val="24"/>
        </w:rPr>
        <w:t>консультант должен представить следующие результаты в течении проведения технической оценки:</w:t>
      </w:r>
    </w:p>
    <w:p w14:paraId="1FC7A132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szCs w:val="24"/>
        </w:rPr>
      </w:pPr>
    </w:p>
    <w:p w14:paraId="05AF11B5" w14:textId="77777777" w:rsidR="00332589" w:rsidRPr="0097079F" w:rsidRDefault="00332589" w:rsidP="0033258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theme="minorHAnsi"/>
          <w:szCs w:val="24"/>
        </w:rPr>
      </w:pPr>
      <w:r w:rsidRPr="0097079F">
        <w:rPr>
          <w:rFonts w:ascii="Calibri" w:eastAsia="Times New Roman" w:hAnsi="Calibri" w:cstheme="minorHAnsi"/>
          <w:szCs w:val="24"/>
        </w:rPr>
        <w:t>Начальный отчет с изложением предлагаемой методологии, детального плана работы (мероприятия, сроки, форма завершения) и графика выездов в регионы (даты, регионы, цели и задачи, участники) - в течение 2 недель после заключения Договора на оказание технической помощи;</w:t>
      </w:r>
    </w:p>
    <w:p w14:paraId="2846FC69" w14:textId="77777777" w:rsidR="00332589" w:rsidRPr="0097079F" w:rsidRDefault="00332589" w:rsidP="0033258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theme="minorHAnsi"/>
          <w:szCs w:val="24"/>
        </w:rPr>
      </w:pPr>
      <w:proofErr w:type="spellStart"/>
      <w:r w:rsidRPr="0097079F">
        <w:rPr>
          <w:rFonts w:ascii="Calibri" w:eastAsia="Times New Roman" w:hAnsi="Calibri" w:cstheme="minorHAnsi"/>
          <w:szCs w:val="24"/>
        </w:rPr>
        <w:t>Промежуточныйотчет</w:t>
      </w:r>
      <w:proofErr w:type="spellEnd"/>
      <w:r w:rsidRPr="0097079F">
        <w:rPr>
          <w:rFonts w:ascii="Calibri" w:eastAsia="Times New Roman" w:hAnsi="Calibri" w:cstheme="minorHAnsi"/>
          <w:szCs w:val="24"/>
        </w:rPr>
        <w:t xml:space="preserve"> с изложением основных выводов по итогам оценки в соответствии с утвержденным Планом работы консультанта в рамках Договора для </w:t>
      </w:r>
      <w:proofErr w:type="gramStart"/>
      <w:r w:rsidRPr="0097079F">
        <w:rPr>
          <w:rFonts w:ascii="Calibri" w:eastAsia="Times New Roman" w:hAnsi="Calibri" w:cstheme="minorHAnsi"/>
          <w:szCs w:val="24"/>
        </w:rPr>
        <w:t>комментариев  ОР</w:t>
      </w:r>
      <w:proofErr w:type="gramEnd"/>
      <w:r w:rsidRPr="0097079F">
        <w:rPr>
          <w:rFonts w:ascii="Calibri" w:eastAsia="Times New Roman" w:hAnsi="Calibri" w:cstheme="minorHAnsi"/>
          <w:szCs w:val="24"/>
        </w:rPr>
        <w:t xml:space="preserve"> - </w:t>
      </w:r>
    </w:p>
    <w:p w14:paraId="464E0FB3" w14:textId="77777777" w:rsidR="00332589" w:rsidRPr="0097079F" w:rsidRDefault="00332589" w:rsidP="0033258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theme="minorHAnsi"/>
          <w:szCs w:val="24"/>
        </w:rPr>
      </w:pPr>
      <w:r w:rsidRPr="0097079F">
        <w:rPr>
          <w:rFonts w:ascii="Calibri" w:eastAsia="Times New Roman" w:hAnsi="Calibri" w:cstheme="minorHAnsi"/>
          <w:szCs w:val="24"/>
        </w:rPr>
        <w:t>Окончательный отчет с изложением основных выводов в рамках оценки, а также соответствующих рекомендаций по амбулаторной модели оказания ТБ помощи и социальной   поддержки пациентам ТБ и ЛУ ТБ  в соответствии с утвержденным Планом работы консультанта в рамках Договора</w:t>
      </w:r>
      <w:r w:rsidRPr="0097079F" w:rsidDel="002A5F84">
        <w:rPr>
          <w:rFonts w:ascii="Calibri" w:eastAsia="Times New Roman" w:hAnsi="Calibri" w:cstheme="minorHAnsi"/>
          <w:szCs w:val="24"/>
        </w:rPr>
        <w:t xml:space="preserve"> </w:t>
      </w:r>
      <w:r w:rsidRPr="0097079F">
        <w:rPr>
          <w:rFonts w:ascii="Calibri" w:eastAsia="Times New Roman" w:hAnsi="Calibri" w:cstheme="minorHAnsi"/>
          <w:szCs w:val="24"/>
        </w:rPr>
        <w:t>;</w:t>
      </w:r>
    </w:p>
    <w:p w14:paraId="050DF23A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31401A0" w14:textId="77777777" w:rsidR="00332589" w:rsidRPr="0097079F" w:rsidRDefault="00332589" w:rsidP="0048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97079F">
        <w:rPr>
          <w:rFonts w:eastAsia="Times New Roman" w:cstheme="minorHAnsi"/>
          <w:szCs w:val="24"/>
        </w:rPr>
        <w:t xml:space="preserve">Конечные результаты должны быть применимы к стране, а их реализация – практически </w:t>
      </w:r>
      <w:proofErr w:type="gramStart"/>
      <w:r w:rsidRPr="0097079F">
        <w:rPr>
          <w:rFonts w:eastAsia="Times New Roman" w:cstheme="minorHAnsi"/>
          <w:szCs w:val="24"/>
        </w:rPr>
        <w:t>выполнима  в</w:t>
      </w:r>
      <w:proofErr w:type="gramEnd"/>
      <w:r w:rsidRPr="0097079F">
        <w:rPr>
          <w:rFonts w:eastAsia="Times New Roman" w:cstheme="minorHAnsi"/>
          <w:szCs w:val="24"/>
        </w:rPr>
        <w:t xml:space="preserve"> регионах и  на страновом уровне.</w:t>
      </w:r>
    </w:p>
    <w:p w14:paraId="70C39DDF" w14:textId="77777777" w:rsidR="009C0528" w:rsidRPr="0097079F" w:rsidRDefault="009C0528" w:rsidP="0048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14:paraId="1B8C78DD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97079F">
        <w:rPr>
          <w:rFonts w:eastAsia="Times New Roman" w:cstheme="minorHAnsi"/>
          <w:b/>
          <w:szCs w:val="24"/>
        </w:rPr>
        <w:t>Профиль консультанта</w:t>
      </w:r>
    </w:p>
    <w:p w14:paraId="770582A2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7079F">
        <w:rPr>
          <w:rFonts w:ascii="Calibri" w:eastAsia="Calibri" w:hAnsi="Calibri" w:cs="Times New Roman"/>
        </w:rPr>
        <w:t xml:space="preserve">для выполнения описанных мероприятий ОР заключит </w:t>
      </w:r>
      <w:proofErr w:type="gramStart"/>
      <w:r w:rsidRPr="0097079F">
        <w:rPr>
          <w:rFonts w:ascii="Calibri" w:eastAsia="Calibri" w:hAnsi="Calibri" w:cs="Times New Roman"/>
        </w:rPr>
        <w:t>контракт с внешним консультантом</w:t>
      </w:r>
      <w:proofErr w:type="gramEnd"/>
      <w:r w:rsidRPr="0097079F">
        <w:rPr>
          <w:rFonts w:ascii="Calibri" w:eastAsia="Calibri" w:hAnsi="Calibri" w:cs="Times New Roman"/>
        </w:rPr>
        <w:t xml:space="preserve"> соответствующим следующими требованиями:</w:t>
      </w:r>
    </w:p>
    <w:p w14:paraId="29718494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02F7E1D5" w14:textId="77777777" w:rsidR="009C0528" w:rsidRPr="0097079F" w:rsidRDefault="009C0528" w:rsidP="009C0528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Calibri"/>
          <w:b/>
          <w:i/>
        </w:rPr>
      </w:pPr>
      <w:r w:rsidRPr="0097079F">
        <w:rPr>
          <w:rFonts w:eastAsia="Calibri"/>
          <w:b/>
          <w:i/>
        </w:rPr>
        <w:lastRenderedPageBreak/>
        <w:t>Общая квалификация</w:t>
      </w:r>
    </w:p>
    <w:p w14:paraId="7A9F6777" w14:textId="77777777" w:rsidR="009C0528" w:rsidRPr="0097079F" w:rsidRDefault="009C0528" w:rsidP="009C0528">
      <w:pPr>
        <w:pStyle w:val="a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Высшее образование в области медицины и / или общественного здравоохранения;</w:t>
      </w:r>
    </w:p>
    <w:p w14:paraId="50513E30" w14:textId="77777777" w:rsidR="009C0528" w:rsidRPr="0097079F" w:rsidRDefault="009C0528" w:rsidP="009C0528">
      <w:pPr>
        <w:pStyle w:val="a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Не менее 5 лет международного опыта (предпочтительно в странах Восточной Европы и Центральной Азии) в области планирования сектора здравоохранения, финансирования здравоохранения, организации и управления службами здравоохранения.</w:t>
      </w:r>
    </w:p>
    <w:p w14:paraId="57CB8EE1" w14:textId="77777777" w:rsidR="009C0528" w:rsidRPr="0097079F" w:rsidRDefault="009C0528" w:rsidP="009C052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</w:p>
    <w:p w14:paraId="3735269B" w14:textId="77777777" w:rsidR="009C0528" w:rsidRPr="0097079F" w:rsidRDefault="009C0528" w:rsidP="009C052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97079F">
        <w:rPr>
          <w:rFonts w:ascii="Calibri" w:eastAsia="Calibri" w:hAnsi="Calibri" w:cs="Times New Roman"/>
          <w:b/>
          <w:i/>
        </w:rPr>
        <w:t>Специфическая программная квалификация</w:t>
      </w:r>
    </w:p>
    <w:p w14:paraId="0D16CC1F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Подтвержденное понимание менеджмента туберкулеза, его вызовов и возможностей для улучшения результатов программы;</w:t>
      </w:r>
    </w:p>
    <w:p w14:paraId="3EA18380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Знание различных моделей финансирования ТБ мероприятий и ТБ коек;</w:t>
      </w:r>
    </w:p>
    <w:p w14:paraId="553E8EDB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Подтвержденный опыт разработки моделей, ориентированных на пациентов, по оказанию стационарной помощи больным туберкулеза;</w:t>
      </w:r>
    </w:p>
    <w:p w14:paraId="5BFB3ABA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Понимание действующих систем здравоохранения в регионе ВЕЦА;</w:t>
      </w:r>
    </w:p>
    <w:p w14:paraId="5008E33C" w14:textId="6BAF8670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Участие в разработке стратегических документов по реформе системы здравоохранения в СНГ и мер, необходимых для повышения эффективности услуг</w:t>
      </w:r>
      <w:r w:rsidR="00332589" w:rsidRPr="0097079F">
        <w:rPr>
          <w:rFonts w:cstheme="minorHAnsi"/>
          <w:szCs w:val="24"/>
        </w:rPr>
        <w:t>, включая работу ТБ стационаров и ТБ коек</w:t>
      </w:r>
      <w:r w:rsidRPr="0097079F">
        <w:rPr>
          <w:rFonts w:cstheme="minorHAnsi"/>
          <w:szCs w:val="24"/>
        </w:rPr>
        <w:t>;</w:t>
      </w:r>
    </w:p>
    <w:p w14:paraId="000263B2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Опыт работы в регионе ВЕЦА является преимуществом;</w:t>
      </w:r>
    </w:p>
    <w:p w14:paraId="76B7508B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Предыдущий опыт работы с грантами финансируемыми ГФ в регионе, является преимуществом.</w:t>
      </w:r>
    </w:p>
    <w:p w14:paraId="7199DD21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i/>
          <w:szCs w:val="24"/>
        </w:rPr>
      </w:pPr>
    </w:p>
    <w:p w14:paraId="36C533B3" w14:textId="77777777" w:rsidR="009C0528" w:rsidRPr="0097079F" w:rsidRDefault="009C0528" w:rsidP="009C0528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97079F">
        <w:rPr>
          <w:rFonts w:ascii="Calibri" w:eastAsia="Calibri" w:hAnsi="Calibri" w:cs="Times New Roman"/>
          <w:b/>
          <w:i/>
        </w:rPr>
        <w:t>Знание языков и другая квалификация</w:t>
      </w:r>
    </w:p>
    <w:p w14:paraId="465D257B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Очень хорошие коммуникативные и презентационные навыки с государственными учреждениями и неправительственными организациями;</w:t>
      </w:r>
    </w:p>
    <w:p w14:paraId="7E73B626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Знание русского и английского языков является обязательным условием;</w:t>
      </w:r>
    </w:p>
    <w:p w14:paraId="381FC12C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Отличные навыки составления текстов на русском и английском языках, а также умение обобщать сложную информацию и вопросы;</w:t>
      </w:r>
    </w:p>
    <w:p w14:paraId="35428815" w14:textId="77777777" w:rsidR="009C0528" w:rsidRPr="0097079F" w:rsidRDefault="009C0528" w:rsidP="009C0528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97079F">
        <w:rPr>
          <w:rFonts w:cstheme="minorHAnsi"/>
          <w:szCs w:val="24"/>
        </w:rPr>
        <w:t xml:space="preserve">Хорошие навыки использования компьютера. </w:t>
      </w:r>
    </w:p>
    <w:p w14:paraId="546B51F6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43D62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Cs w:val="24"/>
        </w:rPr>
      </w:pPr>
      <w:r w:rsidRPr="0097079F">
        <w:rPr>
          <w:rFonts w:eastAsia="Times New Roman" w:cstheme="minorHAnsi"/>
          <w:b/>
          <w:szCs w:val="24"/>
        </w:rPr>
        <w:t>Длительность предоставления услуг и платежей</w:t>
      </w:r>
    </w:p>
    <w:p w14:paraId="5323AB79" w14:textId="77777777" w:rsidR="009C0528" w:rsidRPr="0097079F" w:rsidRDefault="009C0528" w:rsidP="009C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Cs w:val="24"/>
        </w:rPr>
      </w:pPr>
      <w:r w:rsidRPr="0097079F">
        <w:rPr>
          <w:rFonts w:eastAsia="Times New Roman" w:cstheme="minorHAnsi"/>
          <w:szCs w:val="24"/>
        </w:rPr>
        <w:t xml:space="preserve">Услуги требуются в течение 20 дней (включая 5 дней в стране) в </w:t>
      </w:r>
      <w:proofErr w:type="gramStart"/>
      <w:r w:rsidRPr="0097079F">
        <w:rPr>
          <w:rFonts w:eastAsia="Times New Roman" w:cstheme="minorHAnsi"/>
          <w:szCs w:val="24"/>
        </w:rPr>
        <w:t>течение  2020</w:t>
      </w:r>
      <w:proofErr w:type="gramEnd"/>
      <w:r w:rsidRPr="0097079F">
        <w:rPr>
          <w:rFonts w:eastAsia="Times New Roman" w:cstheme="minorHAnsi"/>
          <w:szCs w:val="24"/>
        </w:rPr>
        <w:t xml:space="preserve"> года. Консультант будет финансироваться из средств гранта TGF следующим образом:</w:t>
      </w:r>
    </w:p>
    <w:p w14:paraId="1A7616C1" w14:textId="77777777" w:rsidR="009C0528" w:rsidRPr="0097079F" w:rsidRDefault="009C0528" w:rsidP="009C0528">
      <w:pPr>
        <w:pStyle w:val="aa"/>
        <w:numPr>
          <w:ilvl w:val="0"/>
          <w:numId w:val="12"/>
        </w:numPr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>20% после предоставления начального отчета, утвержденного ОР;</w:t>
      </w:r>
    </w:p>
    <w:p w14:paraId="3F539CC4" w14:textId="77777777" w:rsidR="009C0528" w:rsidRPr="0097079F" w:rsidRDefault="009C0528" w:rsidP="009C0528">
      <w:pPr>
        <w:pStyle w:val="aa"/>
        <w:numPr>
          <w:ilvl w:val="0"/>
          <w:numId w:val="12"/>
        </w:numPr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30% после сдачи промежуточного отчета, </w:t>
      </w:r>
      <w:proofErr w:type="gramStart"/>
      <w:r w:rsidRPr="0097079F">
        <w:rPr>
          <w:rFonts w:cstheme="minorHAnsi"/>
          <w:szCs w:val="24"/>
        </w:rPr>
        <w:t>утвержденного  ОР</w:t>
      </w:r>
      <w:proofErr w:type="gramEnd"/>
      <w:r w:rsidRPr="0097079F">
        <w:rPr>
          <w:rFonts w:cstheme="minorHAnsi"/>
          <w:szCs w:val="24"/>
        </w:rPr>
        <w:t xml:space="preserve">; </w:t>
      </w:r>
    </w:p>
    <w:p w14:paraId="05B1DCF4" w14:textId="77777777" w:rsidR="009C0528" w:rsidRPr="0097079F" w:rsidRDefault="009C0528" w:rsidP="009C0528">
      <w:pPr>
        <w:pStyle w:val="aa"/>
        <w:numPr>
          <w:ilvl w:val="0"/>
          <w:numId w:val="12"/>
        </w:numPr>
        <w:rPr>
          <w:rFonts w:cstheme="minorHAnsi"/>
          <w:szCs w:val="24"/>
        </w:rPr>
      </w:pPr>
      <w:r w:rsidRPr="0097079F">
        <w:rPr>
          <w:rFonts w:cstheme="minorHAnsi"/>
          <w:szCs w:val="24"/>
        </w:rPr>
        <w:t xml:space="preserve">50% после предоставления окончательной версии отчета по форме и содержанию, </w:t>
      </w:r>
      <w:proofErr w:type="gramStart"/>
      <w:r w:rsidRPr="0097079F">
        <w:rPr>
          <w:rFonts w:cstheme="minorHAnsi"/>
          <w:szCs w:val="24"/>
        </w:rPr>
        <w:t>удовлетворяющим  ОР</w:t>
      </w:r>
      <w:proofErr w:type="gramEnd"/>
      <w:r w:rsidRPr="0097079F">
        <w:rPr>
          <w:rFonts w:cstheme="minorHAnsi"/>
          <w:szCs w:val="24"/>
        </w:rPr>
        <w:t>.</w:t>
      </w:r>
    </w:p>
    <w:p w14:paraId="137636A3" w14:textId="77777777" w:rsidR="009C0528" w:rsidRPr="0097079F" w:rsidRDefault="009C0528" w:rsidP="009C052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</w:p>
    <w:p w14:paraId="6CA12B84" w14:textId="77777777" w:rsidR="00DC6572" w:rsidRPr="0097079F" w:rsidRDefault="00DC6572" w:rsidP="006B7FD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7E0F59BD" w14:textId="77777777" w:rsidR="00DC6572" w:rsidRPr="0097079F" w:rsidRDefault="00DC6572" w:rsidP="006B7FD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4867F57" w14:textId="17622072" w:rsidR="006B4716" w:rsidRPr="0097079F" w:rsidRDefault="006B4716" w:rsidP="00CE5C8A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Cs w:val="24"/>
        </w:rPr>
      </w:pPr>
    </w:p>
    <w:sectPr w:rsidR="006B4716" w:rsidRPr="0097079F" w:rsidSect="007E7358">
      <w:headerReference w:type="default" r:id="rId8"/>
      <w:footerReference w:type="default" r:id="rId9"/>
      <w:headerReference w:type="first" r:id="rId10"/>
      <w:pgSz w:w="11906" w:h="16838"/>
      <w:pgMar w:top="567" w:right="851" w:bottom="567" w:left="1418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E7F7" w14:textId="77777777" w:rsidR="00E3514D" w:rsidRDefault="00E3514D" w:rsidP="007D152D">
      <w:pPr>
        <w:spacing w:after="0" w:line="240" w:lineRule="auto"/>
      </w:pPr>
      <w:r>
        <w:separator/>
      </w:r>
    </w:p>
  </w:endnote>
  <w:endnote w:type="continuationSeparator" w:id="0">
    <w:p w14:paraId="5118A754" w14:textId="77777777" w:rsidR="00E3514D" w:rsidRDefault="00E3514D" w:rsidP="007D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6521"/>
      <w:gridCol w:w="1842"/>
    </w:tblGrid>
    <w:tr w:rsidR="00680107" w:rsidRPr="00680107" w14:paraId="0B01EFD6" w14:textId="77777777" w:rsidTr="001E1B18">
      <w:trPr>
        <w:trHeight w:val="402"/>
      </w:trPr>
      <w:tc>
        <w:tcPr>
          <w:tcW w:w="1384" w:type="dxa"/>
        </w:tcPr>
        <w:p w14:paraId="443A9BAA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en-US" w:eastAsia="en-US"/>
            </w:rPr>
          </w:pPr>
        </w:p>
      </w:tc>
      <w:tc>
        <w:tcPr>
          <w:tcW w:w="6521" w:type="dxa"/>
        </w:tcPr>
        <w:p w14:paraId="1772B40F" w14:textId="77777777" w:rsidR="00CE18F9" w:rsidRDefault="00CE18F9" w:rsidP="00CE18F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ГРП ГЛОБАЛЬНОГО ФОНДА</w:t>
          </w:r>
        </w:p>
        <w:p w14:paraId="26725B1F" w14:textId="1008113C" w:rsidR="00680107" w:rsidRPr="00DD6D5F" w:rsidRDefault="007B7E6B" w:rsidP="00FD56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CD456A">
            <w:rPr>
              <w:b/>
              <w:sz w:val="16"/>
              <w:szCs w:val="16"/>
            </w:rPr>
            <w:t>Техзадание на</w:t>
          </w:r>
          <w:r w:rsidR="00FD56A8" w:rsidRPr="00CD456A">
            <w:rPr>
              <w:b/>
              <w:sz w:val="16"/>
              <w:szCs w:val="16"/>
            </w:rPr>
            <w:t xml:space="preserve"> </w:t>
          </w:r>
          <w:r w:rsidR="009C0528">
            <w:rPr>
              <w:b/>
              <w:sz w:val="16"/>
              <w:szCs w:val="16"/>
            </w:rPr>
            <w:t xml:space="preserve">внешнего </w:t>
          </w:r>
          <w:r w:rsidR="00FD56A8" w:rsidRPr="00CD456A">
            <w:rPr>
              <w:b/>
              <w:sz w:val="16"/>
              <w:szCs w:val="16"/>
            </w:rPr>
            <w:t>национального консультанта</w:t>
          </w:r>
        </w:p>
      </w:tc>
      <w:tc>
        <w:tcPr>
          <w:tcW w:w="1842" w:type="dxa"/>
        </w:tcPr>
        <w:p w14:paraId="0C1E8C88" w14:textId="77777777" w:rsidR="00680107" w:rsidRPr="00DD6D5F" w:rsidRDefault="001E1B18" w:rsidP="001E1B1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x-none" w:eastAsia="en-US"/>
            </w:rPr>
          </w:pPr>
          <w:r>
            <w:rPr>
              <w:rFonts w:ascii="Times New Roman" w:eastAsia="Calibri" w:hAnsi="Times New Roman" w:cs="Times New Roman"/>
              <w:lang w:eastAsia="en-US"/>
            </w:rPr>
            <w:t>С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траница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instrText>PAGE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separate"/>
          </w:r>
          <w:r w:rsidR="005D4AE8">
            <w:rPr>
              <w:rFonts w:ascii="Times New Roman" w:eastAsia="Calibri" w:hAnsi="Times New Roman" w:cs="Times New Roman"/>
              <w:noProof/>
              <w:lang w:val="en-US" w:eastAsia="en-US"/>
            </w:rPr>
            <w:t>2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end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из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instrText>NUMPAGES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separate"/>
          </w:r>
          <w:r w:rsidR="005D4AE8" w:rsidRPr="005D4AE8">
            <w:rPr>
              <w:rFonts w:ascii="Times New Roman" w:eastAsia="Calibri" w:hAnsi="Times New Roman" w:cs="Times New Roman"/>
              <w:noProof/>
              <w:lang w:val="en-US" w:eastAsia="en-US"/>
            </w:rPr>
            <w:t>7</w:t>
          </w:r>
          <w:r w:rsidR="00680107" w:rsidRPr="00DD6D5F">
            <w:rPr>
              <w:rFonts w:ascii="Times New Roman" w:eastAsia="Calibri" w:hAnsi="Times New Roman" w:cs="Times New Roman"/>
              <w:noProof/>
              <w:lang w:val="en-US" w:eastAsia="en-US"/>
            </w:rPr>
            <w:fldChar w:fldCharType="end"/>
          </w:r>
        </w:p>
      </w:tc>
    </w:tr>
  </w:tbl>
  <w:p w14:paraId="645AA195" w14:textId="77777777" w:rsidR="0030736A" w:rsidRDefault="003073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AFC2" w14:textId="77777777" w:rsidR="00E3514D" w:rsidRDefault="00E3514D" w:rsidP="007D152D">
      <w:pPr>
        <w:spacing w:after="0" w:line="240" w:lineRule="auto"/>
      </w:pPr>
      <w:r>
        <w:separator/>
      </w:r>
    </w:p>
  </w:footnote>
  <w:footnote w:type="continuationSeparator" w:id="0">
    <w:p w14:paraId="7EC3532E" w14:textId="77777777" w:rsidR="00E3514D" w:rsidRDefault="00E3514D" w:rsidP="007D152D">
      <w:pPr>
        <w:spacing w:after="0" w:line="240" w:lineRule="auto"/>
      </w:pPr>
      <w:r>
        <w:continuationSeparator/>
      </w:r>
    </w:p>
  </w:footnote>
  <w:footnote w:id="1">
    <w:p w14:paraId="391AD552" w14:textId="77777777" w:rsidR="009C0528" w:rsidRPr="00B157FF" w:rsidRDefault="009C0528" w:rsidP="009C0528">
      <w:pPr>
        <w:pStyle w:val="footnotedescription"/>
      </w:pPr>
      <w:r>
        <w:rPr>
          <w:rStyle w:val="footnotemark"/>
        </w:rPr>
        <w:footnoteRef/>
      </w:r>
      <w:r w:rsidRPr="00B157FF">
        <w:t xml:space="preserve"> </w:t>
      </w:r>
      <w:r>
        <w:rPr>
          <w:i/>
          <w:color w:val="000000"/>
          <w:u w:val="none" w:color="000000"/>
        </w:rPr>
        <w:t>Источник</w:t>
      </w:r>
      <w:r w:rsidRPr="00B157FF">
        <w:rPr>
          <w:color w:val="000000"/>
          <w:u w:val="none" w:color="000000"/>
        </w:rPr>
        <w:t xml:space="preserve">: </w:t>
      </w:r>
      <w:r>
        <w:rPr>
          <w:color w:val="000000"/>
          <w:u w:val="none" w:color="000000"/>
        </w:rPr>
        <w:t>Глобальный отчет ВОЗ по туберкулезу 2018</w:t>
      </w:r>
      <w:hyperlink r:id="rId1">
        <w:r w:rsidRPr="00B157FF">
          <w:rPr>
            <w:color w:val="000000"/>
            <w:u w:val="none" w:color="000000"/>
          </w:rPr>
          <w:t xml:space="preserve">, </w:t>
        </w:r>
      </w:hyperlink>
      <w:hyperlink r:id="rId2">
        <w:r w:rsidRPr="007751D2">
          <w:rPr>
            <w:lang w:val="en-US"/>
          </w:rPr>
          <w:t>http</w:t>
        </w:r>
        <w:r w:rsidRPr="00B157FF">
          <w:t>://</w:t>
        </w:r>
        <w:r w:rsidRPr="007751D2">
          <w:rPr>
            <w:lang w:val="en-US"/>
          </w:rPr>
          <w:t>www</w:t>
        </w:r>
        <w:r w:rsidRPr="00B157FF">
          <w:t>.</w:t>
        </w:r>
        <w:r w:rsidRPr="007751D2">
          <w:rPr>
            <w:lang w:val="en-US"/>
          </w:rPr>
          <w:t>who</w:t>
        </w:r>
        <w:r w:rsidRPr="00B157FF">
          <w:t>.</w:t>
        </w:r>
        <w:r w:rsidRPr="007751D2">
          <w:rPr>
            <w:lang w:val="en-US"/>
          </w:rPr>
          <w:t>int</w:t>
        </w:r>
        <w:r w:rsidRPr="00B157FF">
          <w:t>/</w:t>
        </w:r>
        <w:r w:rsidRPr="007751D2">
          <w:rPr>
            <w:lang w:val="en-US"/>
          </w:rPr>
          <w:t>tb</w:t>
        </w:r>
        <w:r w:rsidRPr="00B157FF">
          <w:t>/</w:t>
        </w:r>
        <w:r w:rsidRPr="007751D2">
          <w:rPr>
            <w:lang w:val="en-US"/>
          </w:rPr>
          <w:t>publications</w:t>
        </w:r>
        <w:r w:rsidRPr="00B157FF">
          <w:t>/</w:t>
        </w:r>
        <w:r w:rsidRPr="007751D2">
          <w:rPr>
            <w:lang w:val="en-US"/>
          </w:rPr>
          <w:t>global</w:t>
        </w:r>
        <w:r w:rsidRPr="00B157FF">
          <w:t>_</w:t>
        </w:r>
        <w:r w:rsidRPr="007751D2">
          <w:rPr>
            <w:lang w:val="en-US"/>
          </w:rPr>
          <w:t>report</w:t>
        </w:r>
        <w:r w:rsidRPr="00B157FF">
          <w:t>/</w:t>
        </w:r>
        <w:proofErr w:type="spellStart"/>
        <w:r w:rsidRPr="007751D2">
          <w:rPr>
            <w:lang w:val="en-US"/>
          </w:rPr>
          <w:t>en</w:t>
        </w:r>
        <w:proofErr w:type="spellEnd"/>
        <w:r w:rsidRPr="00B157FF">
          <w:t>/</w:t>
        </w:r>
      </w:hyperlink>
      <w:hyperlink r:id="rId3">
        <w:r w:rsidRPr="00B157FF">
          <w:rPr>
            <w:color w:val="000000"/>
            <w:u w:val="none" w:color="000000"/>
          </w:rPr>
          <w:t xml:space="preserve"> </w:t>
        </w:r>
      </w:hyperlink>
      <w:r w:rsidRPr="00B157FF">
        <w:rPr>
          <w:color w:val="000000"/>
          <w:u w:val="none" w:color="000000"/>
        </w:rPr>
        <w:t xml:space="preserve"> </w:t>
      </w:r>
    </w:p>
    <w:p w14:paraId="557676EA" w14:textId="77777777" w:rsidR="009C0528" w:rsidRPr="00B157FF" w:rsidRDefault="009C0528" w:rsidP="009C0528">
      <w:pPr>
        <w:pStyle w:val="footnotedescription"/>
      </w:pPr>
      <w:r w:rsidRPr="00B157FF">
        <w:rPr>
          <w:color w:val="000000"/>
          <w:u w:val="none" w:color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952"/>
      <w:gridCol w:w="1666"/>
      <w:gridCol w:w="3989"/>
    </w:tblGrid>
    <w:tr w:rsidR="00624D2C" w:rsidRPr="0097079F" w14:paraId="1AEE4123" w14:textId="77777777" w:rsidTr="00624D2C">
      <w:trPr>
        <w:trHeight w:val="1247"/>
      </w:trPr>
      <w:tc>
        <w:tcPr>
          <w:tcW w:w="4003" w:type="dxa"/>
          <w:tcBorders>
            <w:right w:val="nil"/>
          </w:tcBorders>
          <w:vAlign w:val="center"/>
        </w:tcPr>
        <w:p w14:paraId="51DA2E1E" w14:textId="77777777" w:rsidR="00624D2C" w:rsidRPr="003F5D28" w:rsidRDefault="00624D2C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70"/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  <w:r>
            <w:rPr>
              <w:rFonts w:ascii="Tahoma" w:hAnsi="Tahoma" w:cs="Tahoma"/>
              <w:b/>
              <w:sz w:val="16"/>
              <w:szCs w:val="16"/>
              <w:lang w:val="kk-KZ"/>
            </w:rPr>
            <w:t xml:space="preserve">ҚР ДСМ </w:t>
          </w:r>
          <w:r w:rsidRPr="003F5D28">
            <w:rPr>
              <w:rFonts w:ascii="Tahoma" w:hAnsi="Tahoma" w:cs="Tahoma"/>
              <w:b/>
              <w:sz w:val="16"/>
              <w:szCs w:val="16"/>
              <w:lang w:val="kk-KZ"/>
            </w:rPr>
            <w:t>«ҚАЗАҚСТАН РЕСПУБЛИКАСЫНЫҢ ҰЛТТЫҚ  ҒЫЛЫМИ ФТИЗИОПУЛЬМОНОЛОГИЯ ОРТАЛЫҒЫ» ШЖҚ РМК</w:t>
          </w:r>
        </w:p>
      </w:tc>
      <w:tc>
        <w:tcPr>
          <w:tcW w:w="1566" w:type="dxa"/>
          <w:tcBorders>
            <w:left w:val="nil"/>
            <w:right w:val="nil"/>
          </w:tcBorders>
          <w:vAlign w:val="center"/>
        </w:tcPr>
        <w:p w14:paraId="3A280B11" w14:textId="77777777" w:rsidR="00624D2C" w:rsidRPr="003F5D28" w:rsidRDefault="0001699D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5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1AE8CEB" wp14:editId="2060C799">
                <wp:extent cx="942975" cy="790575"/>
                <wp:effectExtent l="0" t="0" r="9525" b="9525"/>
                <wp:docPr id="2" name="Рисунок 2" descr="лого НЦПТ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 НЦПТ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dxa"/>
          <w:tcBorders>
            <w:left w:val="nil"/>
          </w:tcBorders>
          <w:vAlign w:val="center"/>
        </w:tcPr>
        <w:p w14:paraId="2D3D60AC" w14:textId="77777777" w:rsidR="00624D2C" w:rsidRPr="003F5D28" w:rsidRDefault="00624D2C" w:rsidP="00624D2C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</w:rPr>
            <w:t xml:space="preserve">РГП НА ПХВ «НАЦИОНАЛЬНЫЙ НАУЧНЫЙ ЦЕНТР ФТИЗИОПУЛЬМОНОЛОГИИ РЕСПУБЛИКИ КАЗАХСТАН» </w:t>
          </w:r>
          <w:r>
            <w:rPr>
              <w:rFonts w:ascii="Tahoma" w:hAnsi="Tahoma" w:cs="Tahoma"/>
              <w:b/>
              <w:sz w:val="16"/>
              <w:szCs w:val="16"/>
            </w:rPr>
            <w:t>МЗ РК</w:t>
          </w:r>
        </w:p>
        <w:p w14:paraId="26B263A1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14:paraId="24A4D35C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>
            <w:rPr>
              <w:rFonts w:ascii="Tahoma" w:hAnsi="Tahoma" w:cs="Tahoma"/>
              <w:b/>
              <w:sz w:val="16"/>
              <w:szCs w:val="16"/>
              <w:lang w:val="en-US"/>
            </w:rPr>
            <w:t>“</w:t>
          </w: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NATIONAL SCIENTIFIC CENTER </w:t>
          </w:r>
        </w:p>
        <w:p w14:paraId="624D28EB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OF PHTHISIOPULMONOLOGY </w:t>
          </w:r>
        </w:p>
        <w:p w14:paraId="45279790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>THE REPUBLIC OF KAZAKHSTAN</w:t>
          </w:r>
          <w:r>
            <w:rPr>
              <w:rFonts w:ascii="Tahoma" w:hAnsi="Tahoma" w:cs="Tahoma"/>
              <w:b/>
              <w:sz w:val="16"/>
              <w:szCs w:val="16"/>
              <w:lang w:val="en-US"/>
            </w:rPr>
            <w:t>” MoH RK</w:t>
          </w:r>
        </w:p>
      </w:tc>
    </w:tr>
  </w:tbl>
  <w:p w14:paraId="41459CAE" w14:textId="77777777" w:rsidR="007D152D" w:rsidRPr="00624D2C" w:rsidRDefault="007D152D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286"/>
      <w:gridCol w:w="990"/>
      <w:gridCol w:w="4331"/>
    </w:tblGrid>
    <w:tr w:rsidR="00680107" w:rsidRPr="00680107" w14:paraId="477D12F3" w14:textId="77777777" w:rsidTr="002E7FFC">
      <w:trPr>
        <w:trHeight w:val="1247"/>
      </w:trPr>
      <w:tc>
        <w:tcPr>
          <w:tcW w:w="4361" w:type="dxa"/>
          <w:tcBorders>
            <w:right w:val="nil"/>
          </w:tcBorders>
        </w:tcPr>
        <w:p w14:paraId="05811D2E" w14:textId="77777777" w:rsidR="00680107" w:rsidRPr="00680107" w:rsidRDefault="00680107" w:rsidP="00680107">
          <w:pPr>
            <w:spacing w:after="160" w:line="259" w:lineRule="auto"/>
            <w:jc w:val="center"/>
            <w:rPr>
              <w:rFonts w:ascii="Tahoma" w:eastAsia="Calibri" w:hAnsi="Tahoma" w:cs="Tahoma"/>
              <w:b/>
              <w:bCs/>
              <w:sz w:val="10"/>
              <w:szCs w:val="17"/>
              <w:lang w:val="kk-KZ" w:eastAsia="en-US"/>
            </w:rPr>
          </w:pPr>
        </w:p>
        <w:p w14:paraId="45491E0A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С.Ж. АСФЕНДИЯРОВ АТЫНДАҒЫ </w:t>
          </w:r>
        </w:p>
        <w:p w14:paraId="2112458B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ҚАЗАҚ ҰЛТТЫҚ МЕДИЦИНА </w:t>
          </w:r>
        </w:p>
        <w:p w14:paraId="5502AC27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>УНИВЕРСИТЕТІ</w:t>
          </w:r>
        </w:p>
        <w:p w14:paraId="62933905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</w:p>
        <w:p w14:paraId="44FF616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6"/>
              <w:szCs w:val="14"/>
              <w:lang w:eastAsia="en-US"/>
            </w:rPr>
          </w:pPr>
        </w:p>
      </w:tc>
      <w:tc>
        <w:tcPr>
          <w:tcW w:w="992" w:type="dxa"/>
          <w:tcBorders>
            <w:left w:val="nil"/>
            <w:right w:val="nil"/>
          </w:tcBorders>
        </w:tcPr>
        <w:p w14:paraId="1447F460" w14:textId="77777777" w:rsidR="00680107" w:rsidRPr="00680107" w:rsidRDefault="00680107" w:rsidP="00680107">
          <w:pPr>
            <w:spacing w:after="160" w:line="259" w:lineRule="auto"/>
            <w:ind w:left="720"/>
            <w:contextualSpacing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Calibri" w:eastAsia="Calibri" w:hAnsi="Calibri" w:cs="Times New Roman"/>
              <w:b/>
              <w:noProof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3BD60337" wp14:editId="1C461C2A">
                <wp:simplePos x="0" y="0"/>
                <wp:positionH relativeFrom="column">
                  <wp:posOffset>-12700</wp:posOffset>
                </wp:positionH>
                <wp:positionV relativeFrom="paragraph">
                  <wp:posOffset>104775</wp:posOffset>
                </wp:positionV>
                <wp:extent cx="547370" cy="516255"/>
                <wp:effectExtent l="0" t="0" r="5080" b="0"/>
                <wp:wrapNone/>
                <wp:docPr id="3" name="Рисунок 3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76BF7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  <w:p w14:paraId="119B579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</w:tc>
      <w:tc>
        <w:tcPr>
          <w:tcW w:w="4394" w:type="dxa"/>
          <w:tcBorders>
            <w:left w:val="nil"/>
          </w:tcBorders>
        </w:tcPr>
        <w:p w14:paraId="0F7B701B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0D887D26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 xml:space="preserve">КАЗАХСКИЙ НАЦИОНАЛЬНЫЙ МЕДИЦИНСКИЙ </w:t>
          </w:r>
        </w:p>
        <w:p w14:paraId="4835DD44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УНИВЕРСИТЕТ ИМЕНИ С.Д.АСФЕНДИЯРОВА</w:t>
          </w:r>
        </w:p>
        <w:p w14:paraId="557657F6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3819658A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 xml:space="preserve">ASFENDIYAROV KAZAKH NATIONAL </w:t>
          </w:r>
        </w:p>
        <w:p w14:paraId="41592B8F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>MEDICAL UNIVERSITY</w:t>
          </w:r>
          <w:r w:rsidRPr="00680107">
            <w:rPr>
              <w:rFonts w:ascii="Calibri" w:eastAsia="Calibri" w:hAnsi="Calibri" w:cs="Times New Roman"/>
              <w:b/>
              <w:sz w:val="14"/>
              <w:szCs w:val="14"/>
              <w:lang w:val="en-US" w:eastAsia="en-US"/>
            </w:rPr>
            <w:t xml:space="preserve"> </w:t>
          </w:r>
        </w:p>
        <w:p w14:paraId="14E8F148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2"/>
              <w:szCs w:val="14"/>
              <w:lang w:eastAsia="en-US"/>
            </w:rPr>
          </w:pPr>
        </w:p>
      </w:tc>
    </w:tr>
  </w:tbl>
  <w:p w14:paraId="244CCC2C" w14:textId="77777777" w:rsidR="006D3F9A" w:rsidRPr="006D3F9A" w:rsidRDefault="006D3F9A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97B"/>
    <w:multiLevelType w:val="hybridMultilevel"/>
    <w:tmpl w:val="BB6E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F7"/>
    <w:multiLevelType w:val="hybridMultilevel"/>
    <w:tmpl w:val="15EC80E0"/>
    <w:lvl w:ilvl="0" w:tplc="86F04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5CE8"/>
    <w:multiLevelType w:val="hybridMultilevel"/>
    <w:tmpl w:val="0F0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46A1"/>
    <w:multiLevelType w:val="hybridMultilevel"/>
    <w:tmpl w:val="BC6021B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5CACA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B80"/>
    <w:multiLevelType w:val="hybridMultilevel"/>
    <w:tmpl w:val="BD12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BB7"/>
    <w:multiLevelType w:val="hybridMultilevel"/>
    <w:tmpl w:val="73FC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4B46"/>
    <w:multiLevelType w:val="hybridMultilevel"/>
    <w:tmpl w:val="264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5F19"/>
    <w:multiLevelType w:val="hybridMultilevel"/>
    <w:tmpl w:val="0A9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B86"/>
    <w:multiLevelType w:val="hybridMultilevel"/>
    <w:tmpl w:val="0F1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0C7"/>
    <w:multiLevelType w:val="hybridMultilevel"/>
    <w:tmpl w:val="47F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37BC7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69A4"/>
    <w:multiLevelType w:val="hybridMultilevel"/>
    <w:tmpl w:val="1FF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2D"/>
    <w:rsid w:val="00000194"/>
    <w:rsid w:val="0001699D"/>
    <w:rsid w:val="000178CB"/>
    <w:rsid w:val="0003321C"/>
    <w:rsid w:val="00046616"/>
    <w:rsid w:val="00060AC9"/>
    <w:rsid w:val="00064186"/>
    <w:rsid w:val="000709C1"/>
    <w:rsid w:val="000779BB"/>
    <w:rsid w:val="0008393A"/>
    <w:rsid w:val="00087772"/>
    <w:rsid w:val="00094175"/>
    <w:rsid w:val="000A2646"/>
    <w:rsid w:val="000B1CC4"/>
    <w:rsid w:val="000C13B8"/>
    <w:rsid w:val="000C4857"/>
    <w:rsid w:val="000D074E"/>
    <w:rsid w:val="000D4566"/>
    <w:rsid w:val="000D4DA5"/>
    <w:rsid w:val="000D70C8"/>
    <w:rsid w:val="000E76E5"/>
    <w:rsid w:val="001321D6"/>
    <w:rsid w:val="00133747"/>
    <w:rsid w:val="00143F97"/>
    <w:rsid w:val="00173AAA"/>
    <w:rsid w:val="00176446"/>
    <w:rsid w:val="00181E8F"/>
    <w:rsid w:val="00183A83"/>
    <w:rsid w:val="001843AF"/>
    <w:rsid w:val="001953CE"/>
    <w:rsid w:val="001D0E7E"/>
    <w:rsid w:val="001E01AD"/>
    <w:rsid w:val="001E1B18"/>
    <w:rsid w:val="001E1EBB"/>
    <w:rsid w:val="001E4DCE"/>
    <w:rsid w:val="001E4EB1"/>
    <w:rsid w:val="001F25D2"/>
    <w:rsid w:val="002017F8"/>
    <w:rsid w:val="002061C2"/>
    <w:rsid w:val="00212998"/>
    <w:rsid w:val="00240276"/>
    <w:rsid w:val="00240FE9"/>
    <w:rsid w:val="00246D7B"/>
    <w:rsid w:val="002617DE"/>
    <w:rsid w:val="00264C5B"/>
    <w:rsid w:val="002757FF"/>
    <w:rsid w:val="0028729A"/>
    <w:rsid w:val="002A7D66"/>
    <w:rsid w:val="002B21AC"/>
    <w:rsid w:val="00304A74"/>
    <w:rsid w:val="0030736A"/>
    <w:rsid w:val="00315D78"/>
    <w:rsid w:val="00320502"/>
    <w:rsid w:val="00326CC7"/>
    <w:rsid w:val="00331DBD"/>
    <w:rsid w:val="00332589"/>
    <w:rsid w:val="00336F9D"/>
    <w:rsid w:val="00361B45"/>
    <w:rsid w:val="00367AA0"/>
    <w:rsid w:val="00372A61"/>
    <w:rsid w:val="00391C1F"/>
    <w:rsid w:val="003C0F8B"/>
    <w:rsid w:val="003D2734"/>
    <w:rsid w:val="003D2FCD"/>
    <w:rsid w:val="003D4C7E"/>
    <w:rsid w:val="003E0E74"/>
    <w:rsid w:val="003E3329"/>
    <w:rsid w:val="003F13E5"/>
    <w:rsid w:val="00421B26"/>
    <w:rsid w:val="00432DE7"/>
    <w:rsid w:val="00440503"/>
    <w:rsid w:val="0048620F"/>
    <w:rsid w:val="00494B40"/>
    <w:rsid w:val="00497230"/>
    <w:rsid w:val="004B58D8"/>
    <w:rsid w:val="004C082E"/>
    <w:rsid w:val="004F0313"/>
    <w:rsid w:val="00500BB5"/>
    <w:rsid w:val="00502803"/>
    <w:rsid w:val="0050357A"/>
    <w:rsid w:val="00523E06"/>
    <w:rsid w:val="005269CC"/>
    <w:rsid w:val="0056232D"/>
    <w:rsid w:val="00564EDB"/>
    <w:rsid w:val="00592802"/>
    <w:rsid w:val="00593DF9"/>
    <w:rsid w:val="005A007C"/>
    <w:rsid w:val="005A356C"/>
    <w:rsid w:val="005A4CAF"/>
    <w:rsid w:val="005B2597"/>
    <w:rsid w:val="005B6EE6"/>
    <w:rsid w:val="005B703E"/>
    <w:rsid w:val="005C2504"/>
    <w:rsid w:val="005D39CE"/>
    <w:rsid w:val="005D4AE8"/>
    <w:rsid w:val="005D6E56"/>
    <w:rsid w:val="005D7668"/>
    <w:rsid w:val="005E3992"/>
    <w:rsid w:val="005E72E0"/>
    <w:rsid w:val="00615018"/>
    <w:rsid w:val="00624D2C"/>
    <w:rsid w:val="006374CD"/>
    <w:rsid w:val="006422B9"/>
    <w:rsid w:val="00661C84"/>
    <w:rsid w:val="0067745E"/>
    <w:rsid w:val="00680107"/>
    <w:rsid w:val="00680A38"/>
    <w:rsid w:val="00687F94"/>
    <w:rsid w:val="00690E0F"/>
    <w:rsid w:val="006914E8"/>
    <w:rsid w:val="006A2FD5"/>
    <w:rsid w:val="006B18A6"/>
    <w:rsid w:val="006B2D4A"/>
    <w:rsid w:val="006B4716"/>
    <w:rsid w:val="006B7FDF"/>
    <w:rsid w:val="006C3CB3"/>
    <w:rsid w:val="006D3F9A"/>
    <w:rsid w:val="006F2476"/>
    <w:rsid w:val="006F798A"/>
    <w:rsid w:val="00703380"/>
    <w:rsid w:val="007073F3"/>
    <w:rsid w:val="007077DB"/>
    <w:rsid w:val="00712A92"/>
    <w:rsid w:val="007170DB"/>
    <w:rsid w:val="00733C8C"/>
    <w:rsid w:val="00751512"/>
    <w:rsid w:val="00753C40"/>
    <w:rsid w:val="0075474C"/>
    <w:rsid w:val="007635F0"/>
    <w:rsid w:val="007659C6"/>
    <w:rsid w:val="0078016C"/>
    <w:rsid w:val="007A007F"/>
    <w:rsid w:val="007B453F"/>
    <w:rsid w:val="007B46AC"/>
    <w:rsid w:val="007B7E6B"/>
    <w:rsid w:val="007D152D"/>
    <w:rsid w:val="007E21E8"/>
    <w:rsid w:val="007E4349"/>
    <w:rsid w:val="007E7358"/>
    <w:rsid w:val="007F00EC"/>
    <w:rsid w:val="007F359D"/>
    <w:rsid w:val="008002C1"/>
    <w:rsid w:val="00805C40"/>
    <w:rsid w:val="00817DF5"/>
    <w:rsid w:val="00822B2A"/>
    <w:rsid w:val="00830F9F"/>
    <w:rsid w:val="008327F3"/>
    <w:rsid w:val="00833288"/>
    <w:rsid w:val="00841C9A"/>
    <w:rsid w:val="00842946"/>
    <w:rsid w:val="00862AEF"/>
    <w:rsid w:val="00863EDF"/>
    <w:rsid w:val="0087387D"/>
    <w:rsid w:val="00881398"/>
    <w:rsid w:val="00883AA9"/>
    <w:rsid w:val="008B1281"/>
    <w:rsid w:val="008B591A"/>
    <w:rsid w:val="008C035E"/>
    <w:rsid w:val="008C4421"/>
    <w:rsid w:val="008C6001"/>
    <w:rsid w:val="008D7054"/>
    <w:rsid w:val="008E5A5B"/>
    <w:rsid w:val="008F0586"/>
    <w:rsid w:val="008F5DAA"/>
    <w:rsid w:val="009030B1"/>
    <w:rsid w:val="009063C5"/>
    <w:rsid w:val="00912099"/>
    <w:rsid w:val="009128A5"/>
    <w:rsid w:val="0092010A"/>
    <w:rsid w:val="0092370A"/>
    <w:rsid w:val="00925BF5"/>
    <w:rsid w:val="00935C0E"/>
    <w:rsid w:val="00942551"/>
    <w:rsid w:val="00946BB3"/>
    <w:rsid w:val="00950AB6"/>
    <w:rsid w:val="009567B7"/>
    <w:rsid w:val="00957358"/>
    <w:rsid w:val="009627FA"/>
    <w:rsid w:val="00965B9A"/>
    <w:rsid w:val="0097079F"/>
    <w:rsid w:val="00987611"/>
    <w:rsid w:val="009970CE"/>
    <w:rsid w:val="009A1BB3"/>
    <w:rsid w:val="009B10D9"/>
    <w:rsid w:val="009B140C"/>
    <w:rsid w:val="009B1A7E"/>
    <w:rsid w:val="009B27A2"/>
    <w:rsid w:val="009C0528"/>
    <w:rsid w:val="009E1F6D"/>
    <w:rsid w:val="009E2698"/>
    <w:rsid w:val="009E44AA"/>
    <w:rsid w:val="009E45DE"/>
    <w:rsid w:val="009F4420"/>
    <w:rsid w:val="00A03AD7"/>
    <w:rsid w:val="00A154A7"/>
    <w:rsid w:val="00A22FD4"/>
    <w:rsid w:val="00A23AC8"/>
    <w:rsid w:val="00A51D69"/>
    <w:rsid w:val="00A55D54"/>
    <w:rsid w:val="00A669E9"/>
    <w:rsid w:val="00A7627E"/>
    <w:rsid w:val="00A81AA0"/>
    <w:rsid w:val="00A840FC"/>
    <w:rsid w:val="00A93081"/>
    <w:rsid w:val="00AB26C7"/>
    <w:rsid w:val="00AB427F"/>
    <w:rsid w:val="00AC25AB"/>
    <w:rsid w:val="00AC2660"/>
    <w:rsid w:val="00AD7493"/>
    <w:rsid w:val="00AF481B"/>
    <w:rsid w:val="00B0197B"/>
    <w:rsid w:val="00B04D6D"/>
    <w:rsid w:val="00B05923"/>
    <w:rsid w:val="00B44F51"/>
    <w:rsid w:val="00B622CB"/>
    <w:rsid w:val="00B81FFB"/>
    <w:rsid w:val="00B82024"/>
    <w:rsid w:val="00B91DCB"/>
    <w:rsid w:val="00BB6F14"/>
    <w:rsid w:val="00BC16F2"/>
    <w:rsid w:val="00BC4333"/>
    <w:rsid w:val="00BC5322"/>
    <w:rsid w:val="00BD3C2D"/>
    <w:rsid w:val="00BE00F7"/>
    <w:rsid w:val="00BF1651"/>
    <w:rsid w:val="00BF63B7"/>
    <w:rsid w:val="00C01486"/>
    <w:rsid w:val="00C04852"/>
    <w:rsid w:val="00C1090C"/>
    <w:rsid w:val="00C22BF0"/>
    <w:rsid w:val="00C263BF"/>
    <w:rsid w:val="00C36665"/>
    <w:rsid w:val="00C47829"/>
    <w:rsid w:val="00C64E0C"/>
    <w:rsid w:val="00CA1E0F"/>
    <w:rsid w:val="00CA272B"/>
    <w:rsid w:val="00CA2EA0"/>
    <w:rsid w:val="00CA3066"/>
    <w:rsid w:val="00CA7167"/>
    <w:rsid w:val="00CC0645"/>
    <w:rsid w:val="00CC0E5B"/>
    <w:rsid w:val="00CC1D4D"/>
    <w:rsid w:val="00CC698E"/>
    <w:rsid w:val="00CD456A"/>
    <w:rsid w:val="00CE18F9"/>
    <w:rsid w:val="00CE3658"/>
    <w:rsid w:val="00CE5387"/>
    <w:rsid w:val="00CE5C8A"/>
    <w:rsid w:val="00D04859"/>
    <w:rsid w:val="00D120A6"/>
    <w:rsid w:val="00D14E11"/>
    <w:rsid w:val="00D15752"/>
    <w:rsid w:val="00D203F1"/>
    <w:rsid w:val="00D3383C"/>
    <w:rsid w:val="00D82CB7"/>
    <w:rsid w:val="00D83D8D"/>
    <w:rsid w:val="00D8480A"/>
    <w:rsid w:val="00D915A6"/>
    <w:rsid w:val="00D978F8"/>
    <w:rsid w:val="00DA71DA"/>
    <w:rsid w:val="00DA77EA"/>
    <w:rsid w:val="00DC6572"/>
    <w:rsid w:val="00DD6491"/>
    <w:rsid w:val="00DD6B12"/>
    <w:rsid w:val="00DD6D5F"/>
    <w:rsid w:val="00DD6E57"/>
    <w:rsid w:val="00DD7D41"/>
    <w:rsid w:val="00E0106F"/>
    <w:rsid w:val="00E15FAD"/>
    <w:rsid w:val="00E3514D"/>
    <w:rsid w:val="00E37A04"/>
    <w:rsid w:val="00E46C44"/>
    <w:rsid w:val="00E4772E"/>
    <w:rsid w:val="00E508B0"/>
    <w:rsid w:val="00E50F87"/>
    <w:rsid w:val="00E5683D"/>
    <w:rsid w:val="00E6171A"/>
    <w:rsid w:val="00E62A4A"/>
    <w:rsid w:val="00E665AB"/>
    <w:rsid w:val="00E753B3"/>
    <w:rsid w:val="00E766BB"/>
    <w:rsid w:val="00E77B22"/>
    <w:rsid w:val="00E81A1A"/>
    <w:rsid w:val="00E879AD"/>
    <w:rsid w:val="00E91722"/>
    <w:rsid w:val="00E91C1A"/>
    <w:rsid w:val="00EC5EB9"/>
    <w:rsid w:val="00EE153E"/>
    <w:rsid w:val="00EE2744"/>
    <w:rsid w:val="00EE4FE1"/>
    <w:rsid w:val="00EF37EB"/>
    <w:rsid w:val="00F04175"/>
    <w:rsid w:val="00F30539"/>
    <w:rsid w:val="00F54CE4"/>
    <w:rsid w:val="00F60510"/>
    <w:rsid w:val="00F61165"/>
    <w:rsid w:val="00F70959"/>
    <w:rsid w:val="00F867EC"/>
    <w:rsid w:val="00F92BAB"/>
    <w:rsid w:val="00FB0906"/>
    <w:rsid w:val="00FB469D"/>
    <w:rsid w:val="00FC4C0D"/>
    <w:rsid w:val="00FC7365"/>
    <w:rsid w:val="00FD56A8"/>
    <w:rsid w:val="00FE3BD4"/>
    <w:rsid w:val="00FF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141C"/>
  <w15:docId w15:val="{288EAC19-2145-416B-87D0-08A2A0BD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7B"/>
  </w:style>
  <w:style w:type="paragraph" w:styleId="2">
    <w:name w:val="heading 2"/>
    <w:basedOn w:val="a"/>
    <w:next w:val="a"/>
    <w:link w:val="20"/>
    <w:qFormat/>
    <w:rsid w:val="006B4716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52D"/>
  </w:style>
  <w:style w:type="paragraph" w:styleId="a5">
    <w:name w:val="footer"/>
    <w:basedOn w:val="a"/>
    <w:link w:val="a6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52D"/>
  </w:style>
  <w:style w:type="paragraph" w:styleId="a7">
    <w:name w:val="Balloon Text"/>
    <w:basedOn w:val="a"/>
    <w:link w:val="a8"/>
    <w:uiPriority w:val="99"/>
    <w:semiHidden/>
    <w:unhideWhenUsed/>
    <w:rsid w:val="007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0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34"/>
    <w:qFormat/>
    <w:rsid w:val="00733C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rsid w:val="00733C8C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21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B47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List Bullet"/>
    <w:basedOn w:val="a"/>
    <w:rsid w:val="006B4716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ongtext1">
    <w:name w:val="long_text1"/>
    <w:rsid w:val="006B4716"/>
    <w:rPr>
      <w:sz w:val="21"/>
      <w:szCs w:val="21"/>
    </w:rPr>
  </w:style>
  <w:style w:type="character" w:customStyle="1" w:styleId="ae">
    <w:name w:val="Основной текст_"/>
    <w:link w:val="1"/>
    <w:rsid w:val="006B4716"/>
    <w:rPr>
      <w:shd w:val="clear" w:color="auto" w:fill="FFFFFF"/>
    </w:rPr>
  </w:style>
  <w:style w:type="paragraph" w:customStyle="1" w:styleId="1">
    <w:name w:val="Основной текст1"/>
    <w:basedOn w:val="a"/>
    <w:link w:val="ae"/>
    <w:rsid w:val="006B4716"/>
    <w:pPr>
      <w:shd w:val="clear" w:color="auto" w:fill="FFFFFF"/>
      <w:spacing w:before="300" w:after="0" w:line="269" w:lineRule="exact"/>
      <w:ind w:firstLine="680"/>
      <w:jc w:val="both"/>
    </w:pPr>
  </w:style>
  <w:style w:type="paragraph" w:customStyle="1" w:styleId="footnotedescription">
    <w:name w:val="footnote description"/>
    <w:next w:val="a"/>
    <w:link w:val="footnotedescriptionChar"/>
    <w:hidden/>
    <w:rsid w:val="006B18A6"/>
    <w:pPr>
      <w:spacing w:after="0" w:line="259" w:lineRule="auto"/>
    </w:pPr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descriptionChar">
    <w:name w:val="footnote description Char"/>
    <w:link w:val="footnotedescription"/>
    <w:rsid w:val="006B18A6"/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mark">
    <w:name w:val="footnote mark"/>
    <w:hidden/>
    <w:rsid w:val="006B18A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B591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B591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591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B591A"/>
    <w:rPr>
      <w:vertAlign w:val="superscript"/>
    </w:rPr>
  </w:style>
  <w:style w:type="character" w:styleId="af5">
    <w:name w:val="Hyperlink"/>
    <w:basedOn w:val="a0"/>
    <w:uiPriority w:val="99"/>
    <w:rsid w:val="008B59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o.int/tb/publications/global_report/en/" TargetMode="External"/><Relationship Id="rId2" Type="http://schemas.openxmlformats.org/officeDocument/2006/relationships/hyperlink" Target="http://www.who.int/tb/publications/global_report/en/" TargetMode="External"/><Relationship Id="rId1" Type="http://schemas.openxmlformats.org/officeDocument/2006/relationships/hyperlink" Target="http://www.who.int/tb/publications/global_report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4BFA-0743-4F68-A3A4-4625D91B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GlobalFund</cp:lastModifiedBy>
  <cp:revision>5</cp:revision>
  <cp:lastPrinted>2020-01-13T03:54:00Z</cp:lastPrinted>
  <dcterms:created xsi:type="dcterms:W3CDTF">2020-03-17T05:38:00Z</dcterms:created>
  <dcterms:modified xsi:type="dcterms:W3CDTF">2020-03-27T16:39:00Z</dcterms:modified>
</cp:coreProperties>
</file>